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1CC1" w14:textId="77777777" w:rsidR="000620A8" w:rsidRPr="00FC462E" w:rsidRDefault="000620A8" w:rsidP="00FC462E">
      <w:pPr>
        <w:pStyle w:val="ListParagraph"/>
        <w:jc w:val="center"/>
        <w:rPr>
          <w:rFonts w:cstheme="minorHAnsi"/>
        </w:rPr>
      </w:pPr>
    </w:p>
    <w:p w14:paraId="1707E4DB" w14:textId="77777777" w:rsidR="000620A8" w:rsidRPr="00FC462E" w:rsidRDefault="000620A8" w:rsidP="00FC462E">
      <w:pPr>
        <w:pStyle w:val="ListParagraph"/>
        <w:jc w:val="center"/>
        <w:rPr>
          <w:rFonts w:cstheme="minorHAnsi"/>
        </w:rPr>
      </w:pPr>
    </w:p>
    <w:p w14:paraId="1B67BC53" w14:textId="77777777" w:rsidR="000620A8" w:rsidRPr="00FC462E" w:rsidRDefault="000620A8" w:rsidP="00FC462E">
      <w:pPr>
        <w:ind w:left="720"/>
        <w:rPr>
          <w:rFonts w:cstheme="minorHAnsi"/>
        </w:rPr>
      </w:pPr>
    </w:p>
    <w:p w14:paraId="10ADF783" w14:textId="77777777" w:rsidR="000620A8" w:rsidRPr="00FC462E" w:rsidRDefault="000620A8" w:rsidP="00FC462E">
      <w:pPr>
        <w:pStyle w:val="ListParagraph"/>
        <w:jc w:val="center"/>
        <w:rPr>
          <w:rFonts w:cstheme="minorHAnsi"/>
        </w:rPr>
      </w:pPr>
    </w:p>
    <w:p w14:paraId="7C6FDAF8" w14:textId="77777777" w:rsidR="000620A8" w:rsidRPr="00FC462E" w:rsidRDefault="000620A8" w:rsidP="00FC462E">
      <w:pPr>
        <w:pStyle w:val="ListParagraph"/>
        <w:jc w:val="center"/>
        <w:rPr>
          <w:rFonts w:cstheme="minorHAnsi"/>
        </w:rPr>
      </w:pPr>
    </w:p>
    <w:p w14:paraId="3907875B" w14:textId="77777777" w:rsidR="00FA74D6" w:rsidRPr="00FC462E" w:rsidRDefault="00FA74D6" w:rsidP="00FC462E">
      <w:pPr>
        <w:pStyle w:val="ListParagraph"/>
        <w:jc w:val="center"/>
        <w:rPr>
          <w:rFonts w:cstheme="minorHAnsi"/>
        </w:rPr>
      </w:pPr>
    </w:p>
    <w:p w14:paraId="2763D888" w14:textId="6148043E" w:rsidR="00A631A5" w:rsidRDefault="009B1139" w:rsidP="00FC462E">
      <w:pPr>
        <w:pStyle w:val="ListParagraph"/>
        <w:jc w:val="center"/>
        <w:rPr>
          <w:rFonts w:cstheme="minorHAnsi"/>
          <w:sz w:val="40"/>
          <w:szCs w:val="40"/>
        </w:rPr>
      </w:pPr>
      <w:r>
        <w:rPr>
          <w:rFonts w:cstheme="minorHAnsi"/>
          <w:sz w:val="40"/>
          <w:szCs w:val="40"/>
        </w:rPr>
        <w:t>Alliant Energy Corporate Services</w:t>
      </w:r>
    </w:p>
    <w:p w14:paraId="51AB9BA2" w14:textId="4A7D606B" w:rsidR="00855C1B" w:rsidRPr="00FC462E" w:rsidRDefault="00855C1B" w:rsidP="00FC462E">
      <w:pPr>
        <w:pStyle w:val="ListParagraph"/>
        <w:jc w:val="center"/>
        <w:rPr>
          <w:rFonts w:cstheme="minorHAnsi"/>
          <w:sz w:val="40"/>
          <w:szCs w:val="40"/>
        </w:rPr>
      </w:pPr>
      <w:r w:rsidRPr="00FC462E">
        <w:rPr>
          <w:rFonts w:cstheme="minorHAnsi"/>
          <w:sz w:val="40"/>
          <w:szCs w:val="40"/>
        </w:rPr>
        <w:t>Request for Proposals for MISO Capacity</w:t>
      </w:r>
    </w:p>
    <w:p w14:paraId="7BC3BE0C" w14:textId="77777777" w:rsidR="00CE52B9" w:rsidRPr="00FC462E" w:rsidRDefault="00CE52B9" w:rsidP="00FC462E">
      <w:pPr>
        <w:pStyle w:val="ListParagraph"/>
        <w:ind w:firstLine="720"/>
        <w:jc w:val="center"/>
        <w:rPr>
          <w:rFonts w:cstheme="minorHAnsi"/>
          <w:sz w:val="40"/>
          <w:szCs w:val="40"/>
        </w:rPr>
      </w:pPr>
    </w:p>
    <w:p w14:paraId="11519ED3" w14:textId="4554C1D4" w:rsidR="00FA74D6" w:rsidRPr="00FC462E" w:rsidRDefault="009C3D0A" w:rsidP="00FC462E">
      <w:pPr>
        <w:pStyle w:val="ListParagraph"/>
        <w:jc w:val="center"/>
        <w:rPr>
          <w:rFonts w:cstheme="minorHAnsi"/>
          <w:sz w:val="40"/>
          <w:szCs w:val="40"/>
        </w:rPr>
      </w:pPr>
      <w:r>
        <w:rPr>
          <w:rFonts w:cstheme="minorHAnsi"/>
          <w:sz w:val="40"/>
          <w:szCs w:val="40"/>
        </w:rPr>
        <w:t>June</w:t>
      </w:r>
      <w:r w:rsidR="00FA74D6" w:rsidRPr="00FC462E">
        <w:rPr>
          <w:rFonts w:cstheme="minorHAnsi"/>
          <w:sz w:val="40"/>
          <w:szCs w:val="40"/>
        </w:rPr>
        <w:t xml:space="preserve"> </w:t>
      </w:r>
      <w:r w:rsidR="000A27A1">
        <w:rPr>
          <w:rFonts w:cstheme="minorHAnsi"/>
          <w:sz w:val="40"/>
          <w:szCs w:val="40"/>
        </w:rPr>
        <w:t>25</w:t>
      </w:r>
      <w:r w:rsidR="00FA74D6" w:rsidRPr="00FC462E">
        <w:rPr>
          <w:rFonts w:cstheme="minorHAnsi"/>
          <w:sz w:val="40"/>
          <w:szCs w:val="40"/>
        </w:rPr>
        <w:t>, 202</w:t>
      </w:r>
      <w:r w:rsidR="002803B9">
        <w:rPr>
          <w:rFonts w:cstheme="minorHAnsi"/>
          <w:sz w:val="40"/>
          <w:szCs w:val="40"/>
        </w:rPr>
        <w:t>5</w:t>
      </w:r>
    </w:p>
    <w:p w14:paraId="7F64B357" w14:textId="77777777" w:rsidR="007C12B8" w:rsidRPr="00FC462E" w:rsidRDefault="007C12B8" w:rsidP="00FC462E">
      <w:pPr>
        <w:pStyle w:val="ListParagraph"/>
        <w:ind w:firstLine="720"/>
        <w:jc w:val="center"/>
        <w:rPr>
          <w:rFonts w:cstheme="minorHAnsi"/>
          <w:sz w:val="40"/>
          <w:szCs w:val="40"/>
        </w:rPr>
      </w:pPr>
    </w:p>
    <w:p w14:paraId="3A293E3A" w14:textId="010B9A75" w:rsidR="007C12B8" w:rsidRPr="00FC462E" w:rsidRDefault="007C12B8" w:rsidP="00FC462E">
      <w:pPr>
        <w:pStyle w:val="ListParagraph"/>
        <w:jc w:val="center"/>
        <w:rPr>
          <w:rFonts w:cstheme="minorHAnsi"/>
          <w:sz w:val="40"/>
          <w:szCs w:val="40"/>
        </w:rPr>
      </w:pPr>
      <w:r w:rsidRPr="00FC462E">
        <w:rPr>
          <w:rFonts w:cstheme="minorHAnsi"/>
          <w:sz w:val="40"/>
          <w:szCs w:val="40"/>
        </w:rPr>
        <w:t xml:space="preserve">Bids Due </w:t>
      </w:r>
      <w:r w:rsidR="000A27A1">
        <w:rPr>
          <w:rFonts w:cstheme="minorHAnsi"/>
          <w:sz w:val="40"/>
          <w:szCs w:val="40"/>
        </w:rPr>
        <w:t>August 15</w:t>
      </w:r>
      <w:r w:rsidRPr="00FC462E">
        <w:rPr>
          <w:rFonts w:cstheme="minorHAnsi"/>
          <w:sz w:val="40"/>
          <w:szCs w:val="40"/>
        </w:rPr>
        <w:t>, 202</w:t>
      </w:r>
      <w:r w:rsidR="002803B9">
        <w:rPr>
          <w:rFonts w:cstheme="minorHAnsi"/>
          <w:sz w:val="40"/>
          <w:szCs w:val="40"/>
        </w:rPr>
        <w:t>5</w:t>
      </w:r>
    </w:p>
    <w:p w14:paraId="1A8111CE" w14:textId="77777777" w:rsidR="000620A8" w:rsidRPr="00FC462E" w:rsidRDefault="000620A8" w:rsidP="00FC462E">
      <w:pPr>
        <w:ind w:left="720"/>
        <w:rPr>
          <w:rFonts w:cstheme="minorHAnsi"/>
        </w:rPr>
      </w:pPr>
      <w:r w:rsidRPr="00FC462E">
        <w:rPr>
          <w:rFonts w:cstheme="minorHAnsi"/>
        </w:rPr>
        <w:br w:type="page"/>
      </w:r>
    </w:p>
    <w:p w14:paraId="11CD94D3" w14:textId="26DAA5E3" w:rsidR="00645C7C" w:rsidRPr="00693D04" w:rsidRDefault="000B74F0" w:rsidP="00693D04">
      <w:pPr>
        <w:pStyle w:val="Heading1"/>
        <w:numPr>
          <w:ilvl w:val="0"/>
          <w:numId w:val="6"/>
        </w:numPr>
        <w:rPr>
          <w:rFonts w:asciiTheme="minorHAnsi" w:hAnsiTheme="minorHAnsi" w:cstheme="minorHAnsi"/>
        </w:rPr>
      </w:pPr>
      <w:r w:rsidRPr="00FC462E">
        <w:rPr>
          <w:rFonts w:asciiTheme="minorHAnsi" w:hAnsiTheme="minorHAnsi" w:cstheme="minorHAnsi"/>
        </w:rPr>
        <w:lastRenderedPageBreak/>
        <w:t>Introduction</w:t>
      </w:r>
    </w:p>
    <w:p w14:paraId="11CC0467" w14:textId="4F89E06F" w:rsidR="006479CD" w:rsidRPr="00FC462E" w:rsidRDefault="009B1139" w:rsidP="0E62233D">
      <w:pPr>
        <w:pStyle w:val="ListParagraph"/>
        <w:rPr>
          <w:rFonts w:eastAsia="Times New Roman"/>
        </w:rPr>
      </w:pPr>
      <w:r>
        <w:t xml:space="preserve">Alliant </w:t>
      </w:r>
      <w:r w:rsidR="002958AA">
        <w:t xml:space="preserve">Energy </w:t>
      </w:r>
      <w:r>
        <w:t>Corporate Services</w:t>
      </w:r>
      <w:r w:rsidR="00096218">
        <w:t>, on behalf of Interstate Power</w:t>
      </w:r>
      <w:r w:rsidR="00D46AC9">
        <w:t xml:space="preserve"> and</w:t>
      </w:r>
      <w:r w:rsidR="00096218">
        <w:t xml:space="preserve"> </w:t>
      </w:r>
      <w:r w:rsidR="00D46AC9">
        <w:t xml:space="preserve">Light Company </w:t>
      </w:r>
      <w:r w:rsidR="00F27D49">
        <w:t>or</w:t>
      </w:r>
      <w:r w:rsidR="00D46AC9">
        <w:t xml:space="preserve"> Wisconsin Power and Light Company </w:t>
      </w:r>
      <w:r w:rsidR="002958AA">
        <w:t>(</w:t>
      </w:r>
      <w:r w:rsidR="00AB385E">
        <w:t xml:space="preserve">either company hereinafter </w:t>
      </w:r>
      <w:r w:rsidR="00767711">
        <w:t xml:space="preserve">referred to as </w:t>
      </w:r>
      <w:r w:rsidR="002958AA">
        <w:t xml:space="preserve">“Alliant Energy”) </w:t>
      </w:r>
      <w:r w:rsidR="00645C7C">
        <w:t xml:space="preserve">is requesting binding proposals from interested parties (“Bidders”) to </w:t>
      </w:r>
      <w:bookmarkStart w:id="0" w:name="_Hlk201046866"/>
      <w:r w:rsidR="00645C7C">
        <w:t xml:space="preserve">acquire </w:t>
      </w:r>
      <w:bookmarkStart w:id="1" w:name="_Hlk201047257"/>
      <w:r w:rsidR="009A2F91" w:rsidRPr="009A2F91">
        <w:t>Zonal Resource Credits (“ZRCs”)</w:t>
      </w:r>
      <w:r w:rsidR="009A2F91" w:rsidRPr="00594F20">
        <w:t> </w:t>
      </w:r>
      <w:r w:rsidR="00645C7C">
        <w:t>within the Midcontinent Independent System Operator, Inc. (“MISO”) region</w:t>
      </w:r>
      <w:r w:rsidR="003F56F5">
        <w:t xml:space="preserve"> </w:t>
      </w:r>
      <w:bookmarkEnd w:id="0"/>
      <w:bookmarkEnd w:id="1"/>
      <w:r w:rsidR="003F56F5">
        <w:t>meeting</w:t>
      </w:r>
      <w:r w:rsidR="000E204C">
        <w:t xml:space="preserve"> one</w:t>
      </w:r>
      <w:r w:rsidR="003F56F5">
        <w:t xml:space="preserve"> the following criteria:</w:t>
      </w:r>
    </w:p>
    <w:p w14:paraId="213E8C0D" w14:textId="020F20B5" w:rsidR="006479CD" w:rsidRPr="00FC462E" w:rsidRDefault="006479CD" w:rsidP="0E62233D">
      <w:pPr>
        <w:pStyle w:val="ListParagraph"/>
      </w:pPr>
    </w:p>
    <w:p w14:paraId="7D6A39E6" w14:textId="2C428FF8" w:rsidR="006479CD" w:rsidRPr="00FC462E" w:rsidRDefault="186991DA" w:rsidP="50BA1485">
      <w:pPr>
        <w:pStyle w:val="ListParagraph"/>
        <w:numPr>
          <w:ilvl w:val="1"/>
          <w:numId w:val="1"/>
        </w:numPr>
        <w:rPr>
          <w:rFonts w:eastAsia="Times New Roman"/>
        </w:rPr>
      </w:pPr>
      <w:r w:rsidRPr="50BA1485">
        <w:t xml:space="preserve">MISO </w:t>
      </w:r>
      <w:r w:rsidR="00645C7C" w:rsidRPr="50BA1485">
        <w:t>ZRC</w:t>
      </w:r>
      <w:r w:rsidR="009A2F91">
        <w:t>s</w:t>
      </w:r>
      <w:r w:rsidR="117BAE7A" w:rsidRPr="50BA1485">
        <w:t xml:space="preserve"> from MISO Zones 1-7</w:t>
      </w:r>
    </w:p>
    <w:p w14:paraId="612FF28F" w14:textId="642B8A68" w:rsidR="006479CD" w:rsidRPr="00FC462E" w:rsidRDefault="117BAE7A" w:rsidP="7449FE3E">
      <w:pPr>
        <w:pStyle w:val="ListParagraph"/>
        <w:numPr>
          <w:ilvl w:val="1"/>
          <w:numId w:val="1"/>
        </w:numPr>
        <w:rPr>
          <w:rFonts w:eastAsia="Times New Roman"/>
        </w:rPr>
      </w:pPr>
      <w:r w:rsidRPr="7449FE3E">
        <w:rPr>
          <w:rFonts w:eastAsia="Times New Roman"/>
        </w:rPr>
        <w:t xml:space="preserve">Unit contingent </w:t>
      </w:r>
      <w:r w:rsidR="002803B9">
        <w:rPr>
          <w:rFonts w:eastAsia="Times New Roman"/>
        </w:rPr>
        <w:t xml:space="preserve">‘As Generated’ </w:t>
      </w:r>
      <w:r w:rsidRPr="7449FE3E">
        <w:rPr>
          <w:rFonts w:eastAsia="Times New Roman"/>
        </w:rPr>
        <w:t>capacity</w:t>
      </w:r>
    </w:p>
    <w:p w14:paraId="5AE08E00" w14:textId="5BFB64A7" w:rsidR="7FD1BBA3" w:rsidRDefault="7FD1BBA3" w:rsidP="7449FE3E">
      <w:pPr>
        <w:pStyle w:val="ListParagraph"/>
        <w:numPr>
          <w:ilvl w:val="1"/>
          <w:numId w:val="1"/>
        </w:numPr>
        <w:rPr>
          <w:rFonts w:eastAsia="Times New Roman"/>
        </w:rPr>
      </w:pPr>
      <w:r w:rsidRPr="7449FE3E">
        <w:rPr>
          <w:rFonts w:eastAsia="Times New Roman"/>
        </w:rPr>
        <w:t>Financial arrangements for MISO capacity</w:t>
      </w:r>
    </w:p>
    <w:p w14:paraId="55470F5C" w14:textId="5B3A6273" w:rsidR="117BAE7A" w:rsidRDefault="117BAE7A" w:rsidP="7449FE3E">
      <w:pPr>
        <w:pStyle w:val="ListParagraph"/>
        <w:numPr>
          <w:ilvl w:val="1"/>
          <w:numId w:val="1"/>
        </w:numPr>
        <w:rPr>
          <w:rFonts w:eastAsia="Times New Roman"/>
        </w:rPr>
      </w:pPr>
      <w:r w:rsidRPr="7449FE3E">
        <w:rPr>
          <w:rFonts w:eastAsia="Times New Roman"/>
        </w:rPr>
        <w:t>Non-MISO based offers for capacity that may offer a hedge against MISO</w:t>
      </w:r>
      <w:r w:rsidR="196A657D" w:rsidRPr="7449FE3E">
        <w:rPr>
          <w:rFonts w:eastAsia="Times New Roman"/>
        </w:rPr>
        <w:t xml:space="preserve"> resource requirements</w:t>
      </w:r>
    </w:p>
    <w:p w14:paraId="7C2034A6" w14:textId="7FC9D49C" w:rsidR="00137FDF" w:rsidRDefault="00745502" w:rsidP="7449FE3E">
      <w:pPr>
        <w:pStyle w:val="ListParagraph"/>
        <w:numPr>
          <w:ilvl w:val="1"/>
          <w:numId w:val="1"/>
        </w:numPr>
        <w:rPr>
          <w:rFonts w:eastAsia="Times New Roman"/>
        </w:rPr>
      </w:pPr>
      <w:r w:rsidRPr="00745502">
        <w:rPr>
          <w:rFonts w:eastAsia="Times New Roman"/>
        </w:rPr>
        <w:t>Capacity exchanges involving the substitution of one season or planning year for another.</w:t>
      </w:r>
    </w:p>
    <w:p w14:paraId="31545226" w14:textId="4770DC8C" w:rsidR="006479CD" w:rsidRPr="00FC462E" w:rsidRDefault="00645C7C" w:rsidP="7449FE3E">
      <w:pPr>
        <w:ind w:left="720"/>
        <w:rPr>
          <w:rFonts w:eastAsia="Times New Roman"/>
        </w:rPr>
      </w:pPr>
      <w:r>
        <w:t>Th</w:t>
      </w:r>
      <w:r w:rsidR="003971D3">
        <w:t>is Request</w:t>
      </w:r>
      <w:r>
        <w:t xml:space="preserve"> </w:t>
      </w:r>
      <w:r w:rsidR="003971D3">
        <w:t>for Proposals (“</w:t>
      </w:r>
      <w:r>
        <w:t>RFP</w:t>
      </w:r>
      <w:r w:rsidR="003971D3">
        <w:t>”)</w:t>
      </w:r>
      <w:r>
        <w:t xml:space="preserve"> </w:t>
      </w:r>
      <w:r w:rsidR="49D7D18D">
        <w:t>is soliciting</w:t>
      </w:r>
      <w:r w:rsidRPr="7449FE3E">
        <w:t xml:space="preserve"> capacity</w:t>
      </w:r>
      <w:r w:rsidR="0046257B" w:rsidRPr="7449FE3E">
        <w:t xml:space="preserve"> </w:t>
      </w:r>
      <w:r w:rsidR="0046257B" w:rsidRPr="7449FE3E">
        <w:rPr>
          <w:rFonts w:eastAsia="Times New Roman"/>
        </w:rPr>
        <w:t xml:space="preserve">for </w:t>
      </w:r>
      <w:r w:rsidR="00355E86" w:rsidRPr="7449FE3E">
        <w:rPr>
          <w:rFonts w:eastAsia="Times New Roman"/>
        </w:rPr>
        <w:t xml:space="preserve">each of the </w:t>
      </w:r>
      <w:r w:rsidR="0046257B" w:rsidRPr="7449FE3E">
        <w:rPr>
          <w:rFonts w:eastAsia="Times New Roman"/>
        </w:rPr>
        <w:t>202</w:t>
      </w:r>
      <w:r w:rsidR="002803B9">
        <w:rPr>
          <w:rFonts w:eastAsia="Times New Roman"/>
        </w:rPr>
        <w:t>8</w:t>
      </w:r>
      <w:r w:rsidR="0046257B" w:rsidRPr="7449FE3E">
        <w:rPr>
          <w:rFonts w:eastAsia="Times New Roman"/>
        </w:rPr>
        <w:t>-202</w:t>
      </w:r>
      <w:r w:rsidR="002803B9">
        <w:rPr>
          <w:rFonts w:eastAsia="Times New Roman"/>
        </w:rPr>
        <w:t>9</w:t>
      </w:r>
      <w:r w:rsidR="0046257B" w:rsidRPr="7449FE3E">
        <w:rPr>
          <w:rFonts w:eastAsia="Times New Roman"/>
        </w:rPr>
        <w:t xml:space="preserve"> </w:t>
      </w:r>
      <w:r w:rsidR="1DE2BFE4" w:rsidRPr="0335E38C">
        <w:rPr>
          <w:rFonts w:eastAsia="Times New Roman"/>
        </w:rPr>
        <w:t>through</w:t>
      </w:r>
      <w:r w:rsidR="0046257B" w:rsidRPr="0335E38C">
        <w:rPr>
          <w:rFonts w:eastAsia="Times New Roman"/>
        </w:rPr>
        <w:t xml:space="preserve"> </w:t>
      </w:r>
      <w:r w:rsidR="0046257B" w:rsidRPr="7449FE3E">
        <w:rPr>
          <w:rFonts w:eastAsia="Times New Roman"/>
        </w:rPr>
        <w:t>203</w:t>
      </w:r>
      <w:r w:rsidR="009A6E02">
        <w:rPr>
          <w:rFonts w:eastAsia="Times New Roman"/>
        </w:rPr>
        <w:t>2</w:t>
      </w:r>
      <w:r w:rsidR="005B6E6B">
        <w:rPr>
          <w:rFonts w:eastAsia="Times New Roman"/>
        </w:rPr>
        <w:t>-</w:t>
      </w:r>
      <w:r w:rsidR="0046257B" w:rsidRPr="7449FE3E">
        <w:rPr>
          <w:rFonts w:eastAsia="Times New Roman"/>
        </w:rPr>
        <w:t>203</w:t>
      </w:r>
      <w:r w:rsidR="009A6E02">
        <w:rPr>
          <w:rFonts w:eastAsia="Times New Roman"/>
        </w:rPr>
        <w:t>3</w:t>
      </w:r>
      <w:r w:rsidR="0046257B" w:rsidRPr="7449FE3E">
        <w:rPr>
          <w:rFonts w:eastAsia="Times New Roman"/>
        </w:rPr>
        <w:t xml:space="preserve"> MISO Planning Years.  </w:t>
      </w:r>
      <w:r w:rsidR="006479CD" w:rsidRPr="7449FE3E">
        <w:t xml:space="preserve">Competitive proposals for a combination of planning years will be accepted for evaluation. </w:t>
      </w:r>
      <w:r w:rsidR="006479CD">
        <w:t xml:space="preserve"> </w:t>
      </w:r>
      <w:r w:rsidR="532FA716">
        <w:t xml:space="preserve">In addition, </w:t>
      </w:r>
      <w:r w:rsidR="7269702A">
        <w:t>a</w:t>
      </w:r>
      <w:r w:rsidR="00355E86">
        <w:t>ny</w:t>
      </w:r>
      <w:r w:rsidR="00355E86" w:rsidRPr="7449FE3E">
        <w:t xml:space="preserve"> combination of seasonal or annual offers will be evaluated</w:t>
      </w:r>
      <w:r w:rsidR="3AD1F19B">
        <w:t xml:space="preserve"> and considered</w:t>
      </w:r>
      <w:r w:rsidR="002928EA">
        <w:t>.</w:t>
      </w:r>
      <w:r w:rsidR="00355E86" w:rsidRPr="7449FE3E">
        <w:t xml:space="preserve">    </w:t>
      </w:r>
    </w:p>
    <w:p w14:paraId="2AFFB997" w14:textId="5A3E54CB" w:rsidR="00CE52B9" w:rsidRPr="00FC462E" w:rsidRDefault="008D5AF5" w:rsidP="00FC462E">
      <w:pPr>
        <w:pStyle w:val="ListParagraph"/>
      </w:pPr>
      <w:r>
        <w:t>Alliant Energy</w:t>
      </w:r>
      <w:r w:rsidDel="008D5AF5">
        <w:t xml:space="preserve"> </w:t>
      </w:r>
      <w:r w:rsidR="00CE52B9" w:rsidRPr="0335E38C">
        <w:t xml:space="preserve">will </w:t>
      </w:r>
      <w:r w:rsidR="00C776EE" w:rsidRPr="0335E38C">
        <w:t xml:space="preserve">accept ZRC </w:t>
      </w:r>
      <w:r w:rsidR="003F56F5">
        <w:t>b</w:t>
      </w:r>
      <w:r w:rsidR="6D66D6B9" w:rsidRPr="0335E38C">
        <w:t>ids</w:t>
      </w:r>
      <w:r w:rsidR="00C776EE" w:rsidRPr="0335E38C">
        <w:t xml:space="preserve"> for MISO Zones 1</w:t>
      </w:r>
      <w:r w:rsidR="144004BB" w:rsidRPr="0335E38C">
        <w:t xml:space="preserve"> –</w:t>
      </w:r>
      <w:r w:rsidR="00C776EE" w:rsidRPr="0335E38C">
        <w:t>7</w:t>
      </w:r>
      <w:r w:rsidR="144004BB" w:rsidRPr="0335E38C">
        <w:t xml:space="preserve">.  In addition, </w:t>
      </w:r>
      <w:r w:rsidR="346D6CCE" w:rsidRPr="0335E38C">
        <w:t xml:space="preserve">resources </w:t>
      </w:r>
      <w:r w:rsidR="00C776EE" w:rsidRPr="0335E38C">
        <w:t xml:space="preserve">external to MISO with either firm transmission </w:t>
      </w:r>
      <w:r w:rsidR="16D4EE87" w:rsidRPr="0335E38C">
        <w:t>access to MISO</w:t>
      </w:r>
      <w:r w:rsidR="00C776EE" w:rsidRPr="0335E38C">
        <w:t xml:space="preserve"> or</w:t>
      </w:r>
      <w:r w:rsidR="006F1094">
        <w:t xml:space="preserve"> </w:t>
      </w:r>
      <w:r w:rsidR="54308AF3" w:rsidRPr="0335E38C">
        <w:t>a demonstrated</w:t>
      </w:r>
      <w:r w:rsidR="00C776EE" w:rsidRPr="0335E38C">
        <w:t xml:space="preserve"> ability to obtain firm transmission</w:t>
      </w:r>
      <w:r w:rsidR="0CCC8899" w:rsidRPr="0335E38C">
        <w:t xml:space="preserve"> to MISO </w:t>
      </w:r>
      <w:r w:rsidR="77812D65" w:rsidRPr="0335E38C">
        <w:t>will be accepted</w:t>
      </w:r>
      <w:r w:rsidR="00C776EE" w:rsidRPr="0335E38C">
        <w:t>.</w:t>
      </w:r>
      <w:r w:rsidR="006479CD" w:rsidRPr="0335E38C">
        <w:t xml:space="preserve"> </w:t>
      </w:r>
    </w:p>
    <w:p w14:paraId="11A0C723" w14:textId="70DC16EC" w:rsidR="0046257B" w:rsidRPr="00693D04" w:rsidRDefault="0046257B" w:rsidP="00693D04">
      <w:pPr>
        <w:pStyle w:val="Heading1"/>
        <w:numPr>
          <w:ilvl w:val="0"/>
          <w:numId w:val="6"/>
        </w:numPr>
        <w:rPr>
          <w:rFonts w:asciiTheme="minorHAnsi" w:hAnsiTheme="minorHAnsi" w:cstheme="minorHAnsi"/>
        </w:rPr>
      </w:pPr>
      <w:r w:rsidRPr="00FC462E">
        <w:rPr>
          <w:rFonts w:asciiTheme="minorHAnsi" w:hAnsiTheme="minorHAnsi" w:cstheme="minorHAnsi"/>
        </w:rPr>
        <w:t>Product</w:t>
      </w:r>
    </w:p>
    <w:p w14:paraId="3FD5A440" w14:textId="006406BB" w:rsidR="00355E86" w:rsidRPr="00FC462E" w:rsidRDefault="008D5AF5" w:rsidP="00FC462E">
      <w:pPr>
        <w:pStyle w:val="ListParagraph"/>
      </w:pPr>
      <w:r>
        <w:t>Alliant Energy</w:t>
      </w:r>
      <w:r w:rsidDel="008D5AF5">
        <w:t xml:space="preserve"> </w:t>
      </w:r>
      <w:r w:rsidR="0046257B">
        <w:t xml:space="preserve">is seeking Capacity Zonal Resource Credits deliverable and delivered to MISO Local Resource Zones 1- 7. </w:t>
      </w:r>
      <w:r>
        <w:t>Alliant Energy</w:t>
      </w:r>
      <w:r w:rsidDel="008D5AF5">
        <w:t xml:space="preserve"> </w:t>
      </w:r>
      <w:r w:rsidR="0046257B">
        <w:t>has a preference for capacity resources located in</w:t>
      </w:r>
      <w:r w:rsidR="003F56F5">
        <w:t xml:space="preserve"> Zone 3. </w:t>
      </w:r>
      <w:r w:rsidR="0046257B">
        <w:t xml:space="preserve"> </w:t>
      </w:r>
      <w:r>
        <w:t>Alliant Energy</w:t>
      </w:r>
      <w:r w:rsidDel="008D5AF5">
        <w:t xml:space="preserve"> </w:t>
      </w:r>
      <w:r w:rsidR="0046257B">
        <w:t>will accept ZRC blocks</w:t>
      </w:r>
      <w:r w:rsidR="00137FDF">
        <w:t xml:space="preserve"> of</w:t>
      </w:r>
      <w:r w:rsidR="0046257B">
        <w:t xml:space="preserve"> </w:t>
      </w:r>
      <w:r w:rsidR="00137FDF">
        <w:t>no less than 25</w:t>
      </w:r>
      <w:r w:rsidR="0046257B">
        <w:t xml:space="preserve"> MW in size.  Bidders may offer capacity for individual planning years or multiple planning years; the amount of </w:t>
      </w:r>
      <w:r w:rsidR="003971D3">
        <w:t>c</w:t>
      </w:r>
      <w:r w:rsidR="0046257B">
        <w:t xml:space="preserve">apacity offered may vary from year to year or be consistent across the bid term. </w:t>
      </w:r>
      <w:r>
        <w:t>Alliant Energy</w:t>
      </w:r>
      <w:r w:rsidDel="008D5AF5">
        <w:t xml:space="preserve"> </w:t>
      </w:r>
      <w:r w:rsidR="0046257B">
        <w:t xml:space="preserve">may have a preference for executing transactions greater capacity amounts with individual counterparties to reduce administrative costs associated with execution. </w:t>
      </w:r>
    </w:p>
    <w:p w14:paraId="7CCC09A5" w14:textId="77777777" w:rsidR="00355E86" w:rsidRPr="00FC462E" w:rsidRDefault="00355E86" w:rsidP="00FC462E">
      <w:pPr>
        <w:pStyle w:val="ListParagraph"/>
        <w:rPr>
          <w:rFonts w:cstheme="minorHAnsi"/>
        </w:rPr>
      </w:pPr>
    </w:p>
    <w:p w14:paraId="22C07261" w14:textId="53B90B19" w:rsidR="0046257B" w:rsidRPr="00FC462E" w:rsidRDefault="0046257B" w:rsidP="00FC462E">
      <w:pPr>
        <w:pStyle w:val="ListParagraph"/>
      </w:pPr>
      <w:r w:rsidRPr="0335E38C">
        <w:t xml:space="preserve">Bidder </w:t>
      </w:r>
      <w:r w:rsidR="009416A5">
        <w:t>should</w:t>
      </w:r>
      <w:r w:rsidR="009416A5" w:rsidRPr="0335E38C">
        <w:t xml:space="preserve"> </w:t>
      </w:r>
      <w:r w:rsidRPr="0335E38C">
        <w:t xml:space="preserve">be able to and commit to transferring capacity to </w:t>
      </w:r>
      <w:r w:rsidR="008D5AF5">
        <w:t>Alliant Energy</w:t>
      </w:r>
      <w:r w:rsidR="008D5AF5" w:rsidDel="008D5AF5">
        <w:t xml:space="preserve"> </w:t>
      </w:r>
      <w:r w:rsidRPr="0335E38C">
        <w:t>within MISO’s Module E Capacity Tracking (“MECT") tool in accordance with the MISO Tariff and associated business practice manuals. Any transfer shall occur after January 1, but before March 1, of the applicable year – subject to currently in effect MISO Rules.</w:t>
      </w:r>
      <w:r w:rsidR="00C915A9" w:rsidRPr="0335E38C">
        <w:t xml:space="preserve"> </w:t>
      </w:r>
      <w:r w:rsidRPr="0335E38C">
        <w:t xml:space="preserve">After </w:t>
      </w:r>
      <w:r w:rsidR="008D5AF5">
        <w:t>Alliant Energy</w:t>
      </w:r>
      <w:r w:rsidR="008D5AF5" w:rsidDel="008D5AF5">
        <w:t xml:space="preserve"> </w:t>
      </w:r>
      <w:r w:rsidRPr="0335E38C">
        <w:t xml:space="preserve">has confirmed electronic transfer of the Quantity in MISO’s Module E Capacity Tracking (“MECT”) tool, Bidder shall provide </w:t>
      </w:r>
      <w:r w:rsidR="008D5AF5">
        <w:t>Alliant Energy</w:t>
      </w:r>
      <w:r w:rsidR="008D5AF5" w:rsidDel="008D5AF5">
        <w:t xml:space="preserve"> </w:t>
      </w:r>
      <w:r w:rsidRPr="0335E38C">
        <w:t>with an invoice for the amount due for the Quantity transferred by Bidder for the applicable MISO Planning Year. If a multi-year bid is awarded, transfer and payment will occur annually.</w:t>
      </w:r>
      <w:r w:rsidR="00825949" w:rsidRPr="0335E38C">
        <w:t xml:space="preserve"> </w:t>
      </w:r>
      <w:r w:rsidR="008D5AF5">
        <w:t>Alliant Energy</w:t>
      </w:r>
      <w:r w:rsidR="008D5AF5" w:rsidDel="008D5AF5">
        <w:t xml:space="preserve"> </w:t>
      </w:r>
      <w:r w:rsidR="562B5BA2" w:rsidRPr="0335E38C">
        <w:t xml:space="preserve">is also amenable to other payment terms depending on the nature of the resource and </w:t>
      </w:r>
      <w:r w:rsidR="1FBEB208" w:rsidRPr="0335E38C">
        <w:t xml:space="preserve">bid </w:t>
      </w:r>
      <w:r w:rsidR="562B5BA2" w:rsidRPr="0335E38C">
        <w:t>attributes</w:t>
      </w:r>
      <w:r w:rsidR="009416A5">
        <w:t>.  Bidders should highlight payment assumptions in their proposals</w:t>
      </w:r>
      <w:r w:rsidR="562B5BA2" w:rsidRPr="0335E38C">
        <w:t>.</w:t>
      </w:r>
    </w:p>
    <w:p w14:paraId="5D1B05C3" w14:textId="77777777" w:rsidR="00F3122D" w:rsidRPr="00FC462E" w:rsidRDefault="00F3122D" w:rsidP="00FC462E">
      <w:pPr>
        <w:pStyle w:val="ListParagraph"/>
        <w:rPr>
          <w:rFonts w:cstheme="minorHAnsi"/>
        </w:rPr>
      </w:pPr>
    </w:p>
    <w:p w14:paraId="5832BA3E" w14:textId="7CEBA900" w:rsidR="000B74F0" w:rsidRPr="00FC462E" w:rsidRDefault="008D5AF5" w:rsidP="00FC462E">
      <w:pPr>
        <w:pStyle w:val="ListParagraph"/>
      </w:pPr>
      <w:r>
        <w:lastRenderedPageBreak/>
        <w:t>Alliant Energy</w:t>
      </w:r>
      <w:r w:rsidR="00825949">
        <w:t xml:space="preserve"> will evaluate bids of </w:t>
      </w:r>
      <w:r w:rsidR="00137FDF">
        <w:t xml:space="preserve">no less than </w:t>
      </w:r>
      <w:r w:rsidR="00B45CDB">
        <w:t>25</w:t>
      </w:r>
      <w:r w:rsidR="00825949">
        <w:t xml:space="preserve">MW for each season included in the RFP.  Bidders may specify if a bid is seasonal or for the entire MISO Planning Year.  </w:t>
      </w:r>
    </w:p>
    <w:p w14:paraId="1921DB55" w14:textId="4CF24144" w:rsidR="00F3122D" w:rsidRPr="00693D04" w:rsidRDefault="00EC1234" w:rsidP="00693D04">
      <w:pPr>
        <w:pStyle w:val="Heading1"/>
        <w:numPr>
          <w:ilvl w:val="0"/>
          <w:numId w:val="6"/>
        </w:numPr>
        <w:rPr>
          <w:rFonts w:asciiTheme="minorHAnsi" w:hAnsiTheme="minorHAnsi" w:cstheme="minorHAnsi"/>
        </w:rPr>
      </w:pPr>
      <w:r w:rsidRPr="00FC462E">
        <w:rPr>
          <w:rFonts w:asciiTheme="minorHAnsi" w:hAnsiTheme="minorHAnsi" w:cstheme="minorHAnsi"/>
        </w:rPr>
        <w:t xml:space="preserve"> Schedule</w:t>
      </w:r>
    </w:p>
    <w:p w14:paraId="399D03E1" w14:textId="731FF7E9" w:rsidR="00DC01C1" w:rsidRDefault="00F3122D" w:rsidP="00FC462E">
      <w:pPr>
        <w:pStyle w:val="ListParagraph"/>
        <w:rPr>
          <w:rFonts w:cstheme="minorHAnsi"/>
        </w:rPr>
      </w:pPr>
      <w:r w:rsidRPr="00FC462E">
        <w:rPr>
          <w:rFonts w:cstheme="minorHAnsi"/>
        </w:rPr>
        <w:t xml:space="preserve">All due dates assume </w:t>
      </w:r>
      <w:r w:rsidR="00720256">
        <w:rPr>
          <w:rFonts w:cstheme="minorHAnsi"/>
        </w:rPr>
        <w:t>5</w:t>
      </w:r>
      <w:r w:rsidRPr="00FC462E">
        <w:rPr>
          <w:rFonts w:cstheme="minorHAnsi"/>
        </w:rPr>
        <w:t xml:space="preserve">:00 PM </w:t>
      </w:r>
      <w:r w:rsidR="00720256">
        <w:rPr>
          <w:rFonts w:cstheme="minorHAnsi"/>
        </w:rPr>
        <w:t xml:space="preserve">Central </w:t>
      </w:r>
      <w:r w:rsidRPr="00FC462E">
        <w:rPr>
          <w:rFonts w:cstheme="minorHAnsi"/>
        </w:rPr>
        <w:t>Prevailing Time</w:t>
      </w:r>
      <w:r w:rsidR="00720256">
        <w:rPr>
          <w:rFonts w:cstheme="minorHAnsi"/>
        </w:rPr>
        <w:t xml:space="preserve"> (“CPT”)</w:t>
      </w:r>
      <w:r w:rsidRPr="00FC462E">
        <w:rPr>
          <w:rFonts w:cstheme="minorHAnsi"/>
        </w:rPr>
        <w:t xml:space="preserve"> on the date referenced.</w:t>
      </w:r>
      <w:r w:rsidR="00DC01C1">
        <w:rPr>
          <w:rFonts w:cstheme="minorHAnsi"/>
        </w:rPr>
        <w:br/>
      </w:r>
    </w:p>
    <w:p w14:paraId="56E47933" w14:textId="4208B57B" w:rsidR="00F3122D" w:rsidRPr="00FC462E" w:rsidRDefault="00DC01C1" w:rsidP="00FC462E">
      <w:pPr>
        <w:pStyle w:val="ListParagraph"/>
        <w:rPr>
          <w:rFonts w:cstheme="minorHAnsi"/>
        </w:rPr>
      </w:pPr>
      <w:r w:rsidRPr="00FC462E">
        <w:rPr>
          <w:rFonts w:cstheme="minorHAnsi"/>
        </w:rPr>
        <w:t>Table 1</w:t>
      </w:r>
      <w:r>
        <w:rPr>
          <w:rFonts w:cstheme="minorHAnsi"/>
        </w:rPr>
        <w:t>:</w:t>
      </w:r>
    </w:p>
    <w:tbl>
      <w:tblPr>
        <w:tblStyle w:val="TableGrid"/>
        <w:tblW w:w="0" w:type="auto"/>
        <w:tblInd w:w="805" w:type="dxa"/>
        <w:tblLook w:val="04A0" w:firstRow="1" w:lastRow="0" w:firstColumn="1" w:lastColumn="0" w:noHBand="0" w:noVBand="1"/>
      </w:tblPr>
      <w:tblGrid>
        <w:gridCol w:w="3870"/>
        <w:gridCol w:w="3960"/>
      </w:tblGrid>
      <w:tr w:rsidR="00EC1234" w:rsidRPr="00FC462E" w14:paraId="06360E24" w14:textId="77777777" w:rsidTr="00FA74D6">
        <w:tc>
          <w:tcPr>
            <w:tcW w:w="3870" w:type="dxa"/>
          </w:tcPr>
          <w:p w14:paraId="05543124" w14:textId="584B7D80" w:rsidR="00EC1234" w:rsidRPr="000A27A1" w:rsidRDefault="00F3122D" w:rsidP="00FC462E">
            <w:pPr>
              <w:ind w:left="720"/>
              <w:rPr>
                <w:rFonts w:cstheme="minorHAnsi"/>
                <w:b/>
                <w:bCs/>
              </w:rPr>
            </w:pPr>
            <w:r w:rsidRPr="000A27A1">
              <w:rPr>
                <w:rFonts w:cstheme="minorHAnsi"/>
                <w:b/>
                <w:bCs/>
              </w:rPr>
              <w:t xml:space="preserve">RFP </w:t>
            </w:r>
            <w:r w:rsidR="00EC1234" w:rsidRPr="000A27A1">
              <w:rPr>
                <w:rFonts w:cstheme="minorHAnsi"/>
                <w:b/>
                <w:bCs/>
              </w:rPr>
              <w:t>Milestone</w:t>
            </w:r>
          </w:p>
        </w:tc>
        <w:tc>
          <w:tcPr>
            <w:tcW w:w="3960" w:type="dxa"/>
          </w:tcPr>
          <w:p w14:paraId="09EDE34F" w14:textId="46CF1844" w:rsidR="00EC1234" w:rsidRPr="000A27A1" w:rsidRDefault="00EC1234" w:rsidP="00FC462E">
            <w:pPr>
              <w:ind w:left="720"/>
              <w:rPr>
                <w:rFonts w:cstheme="minorHAnsi"/>
                <w:b/>
                <w:bCs/>
              </w:rPr>
            </w:pPr>
            <w:r w:rsidRPr="000A27A1">
              <w:rPr>
                <w:rFonts w:cstheme="minorHAnsi"/>
                <w:b/>
                <w:bCs/>
              </w:rPr>
              <w:t>Date</w:t>
            </w:r>
          </w:p>
        </w:tc>
      </w:tr>
      <w:tr w:rsidR="00EC1234" w:rsidRPr="00FC462E" w14:paraId="74CF9C8E" w14:textId="77777777" w:rsidTr="00FA74D6">
        <w:tc>
          <w:tcPr>
            <w:tcW w:w="3870" w:type="dxa"/>
          </w:tcPr>
          <w:p w14:paraId="62C936A5" w14:textId="631A7A2E" w:rsidR="00EC1234" w:rsidRPr="00FC462E" w:rsidRDefault="00EC1234" w:rsidP="00FC462E">
            <w:pPr>
              <w:ind w:left="720"/>
              <w:rPr>
                <w:rFonts w:cstheme="minorHAnsi"/>
              </w:rPr>
            </w:pPr>
            <w:r w:rsidRPr="00FC462E">
              <w:rPr>
                <w:rFonts w:cstheme="minorHAnsi"/>
              </w:rPr>
              <w:t>RFP Release</w:t>
            </w:r>
          </w:p>
        </w:tc>
        <w:tc>
          <w:tcPr>
            <w:tcW w:w="3960" w:type="dxa"/>
          </w:tcPr>
          <w:p w14:paraId="5C42414A" w14:textId="353133AD" w:rsidR="00EC1234" w:rsidRPr="00FC462E" w:rsidRDefault="009C3D0A" w:rsidP="00FC462E">
            <w:pPr>
              <w:ind w:left="720"/>
              <w:rPr>
                <w:rFonts w:cstheme="minorHAnsi"/>
              </w:rPr>
            </w:pPr>
            <w:r>
              <w:rPr>
                <w:rFonts w:cstheme="minorHAnsi"/>
              </w:rPr>
              <w:t>June</w:t>
            </w:r>
            <w:r w:rsidR="00F3122D" w:rsidRPr="00FC462E">
              <w:rPr>
                <w:rFonts w:cstheme="minorHAnsi"/>
              </w:rPr>
              <w:t xml:space="preserve"> </w:t>
            </w:r>
            <w:r w:rsidR="000A27A1">
              <w:rPr>
                <w:rFonts w:cstheme="minorHAnsi"/>
              </w:rPr>
              <w:t>25</w:t>
            </w:r>
            <w:r w:rsidR="00F3122D" w:rsidRPr="00FC462E">
              <w:rPr>
                <w:rFonts w:cstheme="minorHAnsi"/>
              </w:rPr>
              <w:t xml:space="preserve">, </w:t>
            </w:r>
            <w:r w:rsidR="00EC1234" w:rsidRPr="00FC462E">
              <w:rPr>
                <w:rFonts w:cstheme="minorHAnsi"/>
              </w:rPr>
              <w:t>202</w:t>
            </w:r>
            <w:r w:rsidR="002803B9">
              <w:rPr>
                <w:rFonts w:cstheme="minorHAnsi"/>
              </w:rPr>
              <w:t>5</w:t>
            </w:r>
          </w:p>
        </w:tc>
      </w:tr>
      <w:tr w:rsidR="000A27A1" w:rsidRPr="00FC462E" w14:paraId="634DEA59" w14:textId="77777777" w:rsidTr="00FA74D6">
        <w:tc>
          <w:tcPr>
            <w:tcW w:w="3870" w:type="dxa"/>
          </w:tcPr>
          <w:p w14:paraId="205FB540" w14:textId="3B983E07" w:rsidR="000A27A1" w:rsidRPr="00FC462E" w:rsidRDefault="000A27A1" w:rsidP="00FC462E">
            <w:pPr>
              <w:ind w:left="720"/>
              <w:rPr>
                <w:rFonts w:cstheme="minorHAnsi"/>
              </w:rPr>
            </w:pPr>
            <w:r w:rsidRPr="00FC462E">
              <w:rPr>
                <w:rFonts w:cstheme="minorHAnsi"/>
              </w:rPr>
              <w:t>Proposals due from bidders</w:t>
            </w:r>
          </w:p>
        </w:tc>
        <w:tc>
          <w:tcPr>
            <w:tcW w:w="3960" w:type="dxa"/>
          </w:tcPr>
          <w:p w14:paraId="12B921AF" w14:textId="4C585093" w:rsidR="000A27A1" w:rsidRPr="00FC462E" w:rsidRDefault="000A27A1" w:rsidP="00FC462E">
            <w:pPr>
              <w:ind w:left="720"/>
              <w:rPr>
                <w:rFonts w:cstheme="minorHAnsi"/>
              </w:rPr>
            </w:pPr>
            <w:r>
              <w:rPr>
                <w:rFonts w:cstheme="minorHAnsi"/>
              </w:rPr>
              <w:t>August 15</w:t>
            </w:r>
            <w:r w:rsidRPr="00FC462E">
              <w:rPr>
                <w:rFonts w:cstheme="minorHAnsi"/>
              </w:rPr>
              <w:t>, 202</w:t>
            </w:r>
            <w:r>
              <w:rPr>
                <w:rFonts w:cstheme="minorHAnsi"/>
              </w:rPr>
              <w:t>5</w:t>
            </w:r>
          </w:p>
        </w:tc>
      </w:tr>
      <w:tr w:rsidR="000A27A1" w:rsidRPr="00FC462E" w14:paraId="4D74905C" w14:textId="77777777" w:rsidTr="00FA74D6">
        <w:tc>
          <w:tcPr>
            <w:tcW w:w="3870" w:type="dxa"/>
          </w:tcPr>
          <w:p w14:paraId="5BB5EA45" w14:textId="3838B1DE" w:rsidR="000A27A1" w:rsidRPr="00FC462E" w:rsidRDefault="000A27A1" w:rsidP="00FC462E">
            <w:pPr>
              <w:ind w:left="720"/>
              <w:rPr>
                <w:rFonts w:cstheme="minorHAnsi"/>
              </w:rPr>
            </w:pPr>
            <w:r w:rsidRPr="00FC462E">
              <w:rPr>
                <w:rFonts w:cstheme="minorHAnsi"/>
              </w:rPr>
              <w:t>Notification of award</w:t>
            </w:r>
          </w:p>
        </w:tc>
        <w:tc>
          <w:tcPr>
            <w:tcW w:w="3960" w:type="dxa"/>
          </w:tcPr>
          <w:p w14:paraId="6CE94E7A" w14:textId="54F12E96" w:rsidR="000A27A1" w:rsidRPr="00FC462E" w:rsidRDefault="000A27A1" w:rsidP="00FC462E">
            <w:pPr>
              <w:ind w:left="720"/>
              <w:rPr>
                <w:rFonts w:cstheme="minorHAnsi"/>
              </w:rPr>
            </w:pPr>
            <w:r w:rsidRPr="00FC462E">
              <w:rPr>
                <w:rFonts w:cstheme="minorHAnsi"/>
              </w:rPr>
              <w:t xml:space="preserve">On or Before </w:t>
            </w:r>
            <w:r>
              <w:rPr>
                <w:rFonts w:cstheme="minorHAnsi"/>
              </w:rPr>
              <w:t>September 15</w:t>
            </w:r>
            <w:r w:rsidRPr="00FC462E">
              <w:rPr>
                <w:rFonts w:cstheme="minorHAnsi"/>
              </w:rPr>
              <w:t>, 202</w:t>
            </w:r>
            <w:r>
              <w:rPr>
                <w:rFonts w:cstheme="minorHAnsi"/>
              </w:rPr>
              <w:t>5</w:t>
            </w:r>
          </w:p>
        </w:tc>
      </w:tr>
    </w:tbl>
    <w:p w14:paraId="1E448701" w14:textId="77777777" w:rsidR="00EC1234" w:rsidRPr="00FC462E" w:rsidRDefault="00EC1234" w:rsidP="00FC462E">
      <w:pPr>
        <w:ind w:left="720"/>
        <w:rPr>
          <w:rFonts w:cstheme="minorHAnsi"/>
        </w:rPr>
      </w:pPr>
    </w:p>
    <w:p w14:paraId="21564A43" w14:textId="0CF8C143" w:rsidR="00470812" w:rsidRPr="00FC462E" w:rsidRDefault="00470812" w:rsidP="00FC462E">
      <w:pPr>
        <w:pStyle w:val="ListParagraph"/>
      </w:pPr>
      <w:r>
        <w:t xml:space="preserve">Late proposals or modifications to proposals will not be considered unless </w:t>
      </w:r>
      <w:r w:rsidR="008D5AF5">
        <w:t>Alliant Energy</w:t>
      </w:r>
      <w:r>
        <w:t xml:space="preserve">, in its sole discretion, determines that such action would not unduly delay the selection process and would be in the best interest of </w:t>
      </w:r>
      <w:r w:rsidR="008D5AF5">
        <w:t>Alliant Energy</w:t>
      </w:r>
      <w:r>
        <w:t xml:space="preserve">. </w:t>
      </w:r>
      <w:r w:rsidR="008D5AF5">
        <w:t>Alliant Energy</w:t>
      </w:r>
      <w:r>
        <w:t xml:space="preserve">’s determination regarding late offers shall be final and conclusive. </w:t>
      </w:r>
    </w:p>
    <w:p w14:paraId="556486A8" w14:textId="1AB15864" w:rsidR="0335E38C" w:rsidRDefault="0335E38C" w:rsidP="0335E38C">
      <w:pPr>
        <w:pStyle w:val="ListParagraph"/>
      </w:pPr>
    </w:p>
    <w:p w14:paraId="72F0EF8B" w14:textId="76E9C072" w:rsidR="00470812" w:rsidRPr="00FC462E" w:rsidRDefault="008D5AF5" w:rsidP="00FC462E">
      <w:pPr>
        <w:pStyle w:val="ListParagraph"/>
        <w:rPr>
          <w:rFonts w:cstheme="minorHAnsi"/>
        </w:rPr>
      </w:pPr>
      <w:r>
        <w:t>Alliant Energy</w:t>
      </w:r>
      <w:r w:rsidDel="008D5AF5">
        <w:t xml:space="preserve"> </w:t>
      </w:r>
      <w:r w:rsidR="00470812">
        <w:t xml:space="preserve">will notify non-awarded bidders on or before Notification Date. The timetable is subject to change without notice at </w:t>
      </w:r>
      <w:r>
        <w:t>Alliant Energy</w:t>
      </w:r>
      <w:r w:rsidR="00470812">
        <w:t>’s sole discretion.</w:t>
      </w:r>
    </w:p>
    <w:p w14:paraId="6281DF8E" w14:textId="3927E38A" w:rsidR="00456601" w:rsidRPr="00693D04" w:rsidRDefault="00456601" w:rsidP="00693D04">
      <w:pPr>
        <w:pStyle w:val="Heading1"/>
        <w:numPr>
          <w:ilvl w:val="0"/>
          <w:numId w:val="6"/>
        </w:numPr>
        <w:rPr>
          <w:rFonts w:asciiTheme="minorHAnsi" w:hAnsiTheme="minorHAnsi" w:cstheme="minorHAnsi"/>
        </w:rPr>
      </w:pPr>
      <w:r w:rsidRPr="00FC462E">
        <w:rPr>
          <w:rFonts w:asciiTheme="minorHAnsi" w:hAnsiTheme="minorHAnsi" w:cstheme="minorHAnsi"/>
        </w:rPr>
        <w:t>Terms and Conditions</w:t>
      </w:r>
    </w:p>
    <w:p w14:paraId="0CA4A906" w14:textId="41DBB966" w:rsidR="00456601" w:rsidRPr="00FC462E" w:rsidRDefault="00456601" w:rsidP="00FC462E">
      <w:pPr>
        <w:pStyle w:val="ListParagraph"/>
        <w:numPr>
          <w:ilvl w:val="0"/>
          <w:numId w:val="7"/>
        </w:numPr>
        <w:rPr>
          <w:rFonts w:cstheme="minorHAnsi"/>
        </w:rPr>
      </w:pPr>
      <w:r w:rsidRPr="00456601">
        <w:rPr>
          <w:rFonts w:cstheme="minorHAnsi"/>
        </w:rPr>
        <w:t xml:space="preserve">All bids shall be firm once submitted and shall remain firm through the end of the notification period. Bidders shall not be entitled to submit any bid refreshes. Bidders are not obligated to hold physical capacity during the RFP or hold title to ZRC at the time of the RFP. Bidders are required to maintain the bid price during the RFP and through final execution of a transaction. </w:t>
      </w:r>
    </w:p>
    <w:p w14:paraId="2DB907C9" w14:textId="77777777" w:rsidR="00456601" w:rsidRPr="00456601" w:rsidRDefault="00456601" w:rsidP="00FC462E">
      <w:pPr>
        <w:pStyle w:val="ListParagraph"/>
        <w:rPr>
          <w:rFonts w:cstheme="minorHAnsi"/>
        </w:rPr>
      </w:pPr>
    </w:p>
    <w:p w14:paraId="23F507E0" w14:textId="1CBCDD0B" w:rsidR="00456601" w:rsidRPr="00FC462E" w:rsidRDefault="6A3E6313" w:rsidP="00FC462E">
      <w:pPr>
        <w:pStyle w:val="ListParagraph"/>
        <w:numPr>
          <w:ilvl w:val="0"/>
          <w:numId w:val="7"/>
        </w:numPr>
      </w:pPr>
      <w:r w:rsidRPr="0335E38C">
        <w:t>Shortlisted</w:t>
      </w:r>
      <w:r w:rsidR="00456601" w:rsidRPr="0335E38C">
        <w:t xml:space="preserve"> Bidder</w:t>
      </w:r>
      <w:r w:rsidR="0D02C9C7" w:rsidRPr="0335E38C">
        <w:t>s</w:t>
      </w:r>
      <w:r w:rsidR="00456601" w:rsidRPr="0335E38C">
        <w:t xml:space="preserve"> and </w:t>
      </w:r>
      <w:r w:rsidR="008D5AF5">
        <w:t>Alliant Energy</w:t>
      </w:r>
      <w:r w:rsidR="008D5AF5" w:rsidDel="008D5AF5">
        <w:t xml:space="preserve"> </w:t>
      </w:r>
      <w:r w:rsidR="00456601" w:rsidRPr="0335E38C">
        <w:t xml:space="preserve">shall enter into a Binding Term Sheet confirming the transaction and a Definitive Agreement that would govern the transaction. </w:t>
      </w:r>
    </w:p>
    <w:p w14:paraId="042F42FF" w14:textId="77777777" w:rsidR="00456601" w:rsidRPr="00FC462E" w:rsidRDefault="00456601" w:rsidP="00FC462E">
      <w:pPr>
        <w:pStyle w:val="ListParagraph"/>
        <w:rPr>
          <w:rFonts w:cstheme="minorHAnsi"/>
        </w:rPr>
      </w:pPr>
    </w:p>
    <w:p w14:paraId="0A3BD4CD" w14:textId="1E1002FA" w:rsidR="00456601" w:rsidRPr="00FC462E" w:rsidRDefault="00456601" w:rsidP="00FC462E">
      <w:pPr>
        <w:pStyle w:val="ListParagraph"/>
        <w:numPr>
          <w:ilvl w:val="0"/>
          <w:numId w:val="7"/>
        </w:numPr>
        <w:rPr>
          <w:rFonts w:cstheme="minorHAnsi"/>
        </w:rPr>
      </w:pPr>
      <w:r w:rsidRPr="0335E38C">
        <w:t xml:space="preserve">A proposal based on a North American Energy Markets Association (“NAEMA”) Capacity/Energy Tariff Agreement or an Edison Electric Institute (“EEI”) Master Power Purchase and Sales Agreement is preferred, but not required. A Long Form Transaction Agreement may also be acceptable. </w:t>
      </w:r>
    </w:p>
    <w:p w14:paraId="496B1D09" w14:textId="77777777" w:rsidR="00456601" w:rsidRPr="00FC462E" w:rsidRDefault="00456601" w:rsidP="00FC462E">
      <w:pPr>
        <w:pStyle w:val="ListParagraph"/>
        <w:rPr>
          <w:rFonts w:cstheme="minorHAnsi"/>
        </w:rPr>
      </w:pPr>
    </w:p>
    <w:p w14:paraId="345F6755" w14:textId="7664D1F1" w:rsidR="00456601" w:rsidRPr="00FC462E" w:rsidRDefault="008D5AF5" w:rsidP="00FD70C5">
      <w:pPr>
        <w:pStyle w:val="ListParagraph"/>
        <w:numPr>
          <w:ilvl w:val="0"/>
          <w:numId w:val="7"/>
        </w:numPr>
        <w:spacing w:after="240"/>
        <w:contextualSpacing w:val="0"/>
      </w:pPr>
      <w:r>
        <w:t>Alliant Energy</w:t>
      </w:r>
      <w:r w:rsidDel="008D5AF5">
        <w:t xml:space="preserve"> </w:t>
      </w:r>
      <w:r w:rsidR="00456601" w:rsidRPr="0335E38C">
        <w:t xml:space="preserve">may require credit support dependent upon the term, overall value, and risks associated with individual </w:t>
      </w:r>
      <w:r w:rsidR="2BC72278" w:rsidRPr="0335E38C">
        <w:t xml:space="preserve">bids and </w:t>
      </w:r>
      <w:r w:rsidR="00456601" w:rsidRPr="0335E38C">
        <w:t xml:space="preserve">Bidders. Such credit support may take the form of: </w:t>
      </w:r>
    </w:p>
    <w:p w14:paraId="4B0BFDD2" w14:textId="5B987CEA" w:rsidR="00456601" w:rsidRPr="00456601" w:rsidRDefault="00456601" w:rsidP="009416A5">
      <w:pPr>
        <w:pStyle w:val="ListParagraph"/>
        <w:numPr>
          <w:ilvl w:val="2"/>
          <w:numId w:val="8"/>
        </w:numPr>
      </w:pPr>
      <w:r w:rsidRPr="0335E38C">
        <w:t xml:space="preserve">Established credit facilities in place between the parties, </w:t>
      </w:r>
    </w:p>
    <w:p w14:paraId="49D48A0C" w14:textId="14D703E6" w:rsidR="00693D04" w:rsidRDefault="00456601" w:rsidP="00693D04">
      <w:pPr>
        <w:pStyle w:val="ListParagraph"/>
        <w:numPr>
          <w:ilvl w:val="2"/>
          <w:numId w:val="8"/>
        </w:numPr>
        <w:spacing w:after="360"/>
      </w:pPr>
      <w:r w:rsidRPr="0335E38C">
        <w:t xml:space="preserve">Parental Guaranty from </w:t>
      </w:r>
      <w:r w:rsidR="009416A5">
        <w:t xml:space="preserve">an </w:t>
      </w:r>
      <w:r w:rsidRPr="0335E38C">
        <w:t xml:space="preserve">acceptable Guarantor – acceptance of Parent Guarantor is at </w:t>
      </w:r>
      <w:r w:rsidR="008D5AF5">
        <w:t>Alliant Energy</w:t>
      </w:r>
      <w:r w:rsidR="003971D3" w:rsidRPr="0335E38C">
        <w:t xml:space="preserve">’s </w:t>
      </w:r>
      <w:r w:rsidRPr="0335E38C">
        <w:t xml:space="preserve">sole discretion, </w:t>
      </w:r>
    </w:p>
    <w:p w14:paraId="19813C08" w14:textId="7FF830A1" w:rsidR="00456601" w:rsidRPr="00FC462E" w:rsidRDefault="009416A5" w:rsidP="00FD70C5">
      <w:pPr>
        <w:pStyle w:val="ListParagraph"/>
        <w:numPr>
          <w:ilvl w:val="2"/>
          <w:numId w:val="8"/>
        </w:numPr>
        <w:spacing w:after="360"/>
        <w:contextualSpacing w:val="0"/>
      </w:pPr>
      <w:r w:rsidRPr="0335E38C">
        <w:t xml:space="preserve">Letter of Credit (“LOC”) from a financial institution acceptable to </w:t>
      </w:r>
      <w:r w:rsidR="008D5AF5">
        <w:t>Alliant Energy</w:t>
      </w:r>
      <w:r w:rsidRPr="0335E38C">
        <w:t xml:space="preserve"> in its sole discretion, or Cash Escrow.</w:t>
      </w:r>
    </w:p>
    <w:p w14:paraId="0DE8B9A7" w14:textId="35866551" w:rsidR="00456601" w:rsidRPr="00FC462E" w:rsidRDefault="00456601" w:rsidP="00FC462E">
      <w:pPr>
        <w:pStyle w:val="ListParagraph"/>
        <w:numPr>
          <w:ilvl w:val="0"/>
          <w:numId w:val="7"/>
        </w:numPr>
        <w:rPr>
          <w:rFonts w:cstheme="minorHAnsi"/>
        </w:rPr>
      </w:pPr>
      <w:r w:rsidRPr="0335E38C">
        <w:lastRenderedPageBreak/>
        <w:t xml:space="preserve">Dodd-Frank: Bidder shall be responsible for the reporting of any and all transaction(s) that are required to be reported in accordance with the U.S. Commodity Futures Trading Commission’s regulatory framework. </w:t>
      </w:r>
    </w:p>
    <w:p w14:paraId="5CB6B3CF" w14:textId="77777777" w:rsidR="00470812" w:rsidRPr="00FC462E" w:rsidRDefault="00470812" w:rsidP="00FC462E">
      <w:pPr>
        <w:pStyle w:val="ListParagraph"/>
        <w:rPr>
          <w:rFonts w:cstheme="minorHAnsi"/>
        </w:rPr>
      </w:pPr>
    </w:p>
    <w:p w14:paraId="7828FCEC" w14:textId="77777777" w:rsidR="00EA536E" w:rsidRPr="00FC462E" w:rsidRDefault="00EA536E" w:rsidP="00FC462E">
      <w:pPr>
        <w:pStyle w:val="Heading1"/>
        <w:numPr>
          <w:ilvl w:val="0"/>
          <w:numId w:val="6"/>
        </w:numPr>
        <w:rPr>
          <w:rFonts w:asciiTheme="minorHAnsi" w:hAnsiTheme="minorHAnsi" w:cstheme="minorHAnsi"/>
        </w:rPr>
      </w:pPr>
      <w:r w:rsidRPr="00FC462E">
        <w:rPr>
          <w:rFonts w:asciiTheme="minorHAnsi" w:hAnsiTheme="minorHAnsi" w:cstheme="minorHAnsi"/>
        </w:rPr>
        <w:t xml:space="preserve">OTHER CONSIDERATIONS </w:t>
      </w:r>
    </w:p>
    <w:p w14:paraId="3246C50A" w14:textId="019D3203" w:rsidR="00EA536E" w:rsidRPr="00FC462E" w:rsidRDefault="008D5AF5" w:rsidP="00FC462E">
      <w:pPr>
        <w:pStyle w:val="ListParagraph"/>
        <w:numPr>
          <w:ilvl w:val="0"/>
          <w:numId w:val="9"/>
        </w:numPr>
        <w:rPr>
          <w:rFonts w:cstheme="minorHAnsi"/>
        </w:rPr>
      </w:pPr>
      <w:r>
        <w:t>Alliant Energy</w:t>
      </w:r>
      <w:r w:rsidDel="008D5AF5">
        <w:rPr>
          <w:rFonts w:cstheme="minorHAnsi"/>
        </w:rPr>
        <w:t xml:space="preserve"> </w:t>
      </w:r>
      <w:r w:rsidR="00EA536E" w:rsidRPr="00FC462E">
        <w:rPr>
          <w:rFonts w:cstheme="minorHAnsi"/>
        </w:rPr>
        <w:t>shall have no obligation to enter into any agreement with any bidder and, at its sole discretion, may terminate negotiations with any Bidder at any time without liability.</w:t>
      </w:r>
    </w:p>
    <w:p w14:paraId="577BD7A7" w14:textId="6001DACF" w:rsidR="00EA536E" w:rsidRPr="00FC462E" w:rsidRDefault="00EA536E" w:rsidP="00FC462E">
      <w:pPr>
        <w:pStyle w:val="ListParagraph"/>
        <w:rPr>
          <w:rFonts w:cstheme="minorHAnsi"/>
        </w:rPr>
      </w:pPr>
    </w:p>
    <w:p w14:paraId="34B645B4" w14:textId="5D00EB1A" w:rsidR="00EA536E" w:rsidRPr="00FC462E" w:rsidRDefault="00EA536E" w:rsidP="00FC462E">
      <w:pPr>
        <w:pStyle w:val="ListParagraph"/>
        <w:numPr>
          <w:ilvl w:val="0"/>
          <w:numId w:val="9"/>
        </w:numPr>
        <w:rPr>
          <w:rFonts w:cstheme="minorHAnsi"/>
        </w:rPr>
      </w:pPr>
      <w:r w:rsidRPr="00FC462E">
        <w:rPr>
          <w:rFonts w:cstheme="minorHAnsi"/>
        </w:rPr>
        <w:t xml:space="preserve">Bidders are advised that any agreement executed by </w:t>
      </w:r>
      <w:r w:rsidR="008D5AF5">
        <w:t>Alliant Energy</w:t>
      </w:r>
      <w:r w:rsidR="008D5AF5" w:rsidDel="008D5AF5">
        <w:rPr>
          <w:rFonts w:cstheme="minorHAnsi"/>
        </w:rPr>
        <w:t xml:space="preserve"> </w:t>
      </w:r>
      <w:r w:rsidRPr="00FC462E">
        <w:rPr>
          <w:rFonts w:cstheme="minorHAnsi"/>
        </w:rPr>
        <w:t xml:space="preserve">and any selected respondent may not be an exclusive contract. In submitting a proposal, Bidders will be deemed to have acknowledged that </w:t>
      </w:r>
      <w:r w:rsidR="008D5AF5">
        <w:t>Alliant Energy</w:t>
      </w:r>
      <w:r w:rsidR="008D5AF5" w:rsidDel="008D5AF5">
        <w:rPr>
          <w:rFonts w:cstheme="minorHAnsi"/>
        </w:rPr>
        <w:t xml:space="preserve"> </w:t>
      </w:r>
      <w:r w:rsidRPr="00FC462E">
        <w:rPr>
          <w:rFonts w:cstheme="minorHAnsi"/>
        </w:rPr>
        <w:t xml:space="preserve">may contract with others for the same or similar deliverables or may otherwise obtain the same or similar deliverables by other means and on different terms. </w:t>
      </w:r>
    </w:p>
    <w:p w14:paraId="3AB85244" w14:textId="77777777" w:rsidR="00EA536E" w:rsidRPr="00FC462E" w:rsidRDefault="00EA536E" w:rsidP="00FC462E">
      <w:pPr>
        <w:pStyle w:val="ListParagraph"/>
        <w:rPr>
          <w:rFonts w:cstheme="minorHAnsi"/>
        </w:rPr>
      </w:pPr>
    </w:p>
    <w:p w14:paraId="3AE7572F" w14:textId="6D949BF3" w:rsidR="00EA536E" w:rsidRPr="00FC462E" w:rsidRDefault="00EA536E" w:rsidP="00FC462E">
      <w:pPr>
        <w:pStyle w:val="ListParagraph"/>
        <w:rPr>
          <w:rFonts w:cstheme="minorHAnsi"/>
        </w:rPr>
      </w:pPr>
    </w:p>
    <w:p w14:paraId="5128DA64" w14:textId="4D60B43E" w:rsidR="00EA536E" w:rsidRPr="00FC462E" w:rsidRDefault="008D5AF5" w:rsidP="00FC462E">
      <w:pPr>
        <w:pStyle w:val="ListParagraph"/>
        <w:numPr>
          <w:ilvl w:val="0"/>
          <w:numId w:val="9"/>
        </w:numPr>
        <w:rPr>
          <w:rFonts w:cstheme="minorHAnsi"/>
        </w:rPr>
      </w:pPr>
      <w:r>
        <w:t>Alliant Energy</w:t>
      </w:r>
      <w:r w:rsidDel="008D5AF5">
        <w:t xml:space="preserve"> </w:t>
      </w:r>
      <w:r w:rsidR="00EA536E">
        <w:t xml:space="preserve">shall </w:t>
      </w:r>
      <w:r w:rsidR="003971D3">
        <w:t xml:space="preserve">not </w:t>
      </w:r>
      <w:r w:rsidR="00EA536E">
        <w:t xml:space="preserve">be responsible for any costs incurred by any Bidder in preparing, submitting, or presenting its response to the RFP. </w:t>
      </w:r>
      <w:r>
        <w:t>Alliant Energy</w:t>
      </w:r>
      <w:r w:rsidDel="008D5AF5">
        <w:t xml:space="preserve"> </w:t>
      </w:r>
      <w:r w:rsidR="003971D3">
        <w:t xml:space="preserve">is </w:t>
      </w:r>
      <w:r w:rsidR="00EA536E">
        <w:t xml:space="preserve">not responsible for any cost incurred by the Bidder during post RFP negotiation. </w:t>
      </w:r>
    </w:p>
    <w:p w14:paraId="6DFC228F" w14:textId="77777777" w:rsidR="00EA536E" w:rsidRPr="00FC462E" w:rsidRDefault="00EA536E" w:rsidP="00FC462E">
      <w:pPr>
        <w:pStyle w:val="ListParagraph"/>
        <w:rPr>
          <w:rFonts w:cstheme="minorHAnsi"/>
        </w:rPr>
      </w:pPr>
    </w:p>
    <w:p w14:paraId="1EA4D3A7" w14:textId="03BFB0BC" w:rsidR="00EA536E" w:rsidRPr="00FC462E" w:rsidRDefault="008D5AF5" w:rsidP="00FC462E">
      <w:pPr>
        <w:pStyle w:val="ListParagraph"/>
        <w:numPr>
          <w:ilvl w:val="0"/>
          <w:numId w:val="9"/>
        </w:numPr>
        <w:rPr>
          <w:rFonts w:cstheme="minorHAnsi"/>
        </w:rPr>
      </w:pPr>
      <w:r>
        <w:t>Alliant Energy</w:t>
      </w:r>
      <w:r w:rsidDel="008D5AF5">
        <w:t xml:space="preserve"> </w:t>
      </w:r>
      <w:r w:rsidR="00EA536E">
        <w:t xml:space="preserve">reserve the right to select any proposals as winners in the RFP. </w:t>
      </w:r>
      <w:r>
        <w:t>Alliant Energy</w:t>
      </w:r>
      <w:r w:rsidR="00EA536E">
        <w:t xml:space="preserve"> </w:t>
      </w:r>
      <w:r w:rsidR="003971D3">
        <w:t xml:space="preserve">is </w:t>
      </w:r>
      <w:r w:rsidR="00EA536E">
        <w:t xml:space="preserve">under no obligation to select the lowest cost proposal or proposals if, it is determined at </w:t>
      </w:r>
      <w:r w:rsidR="00DD06B2">
        <w:t>ALLIANT ENERGY</w:t>
      </w:r>
      <w:r w:rsidR="00EA536E">
        <w:t>’s sole discretion, that its best interests, and/or those of its customers, are served in doing so.</w:t>
      </w:r>
    </w:p>
    <w:p w14:paraId="274EFDE7" w14:textId="353E41F6" w:rsidR="00EA536E" w:rsidRPr="00FC462E" w:rsidRDefault="00EA536E" w:rsidP="00FC462E">
      <w:pPr>
        <w:pStyle w:val="ListParagraph"/>
        <w:rPr>
          <w:rFonts w:cstheme="minorHAnsi"/>
        </w:rPr>
      </w:pPr>
    </w:p>
    <w:p w14:paraId="1C6F5D03" w14:textId="6BEBCA3A" w:rsidR="00EA536E" w:rsidRPr="00FC462E" w:rsidRDefault="00EA536E" w:rsidP="00FC462E">
      <w:pPr>
        <w:pStyle w:val="ListParagraph"/>
        <w:numPr>
          <w:ilvl w:val="0"/>
          <w:numId w:val="9"/>
        </w:numPr>
        <w:rPr>
          <w:rFonts w:cstheme="minorHAnsi"/>
        </w:rPr>
      </w:pPr>
      <w:r w:rsidRPr="00FC462E">
        <w:rPr>
          <w:rFonts w:cstheme="minorHAnsi"/>
        </w:rPr>
        <w:t xml:space="preserve">All or part of </w:t>
      </w:r>
      <w:r w:rsidR="008D5AF5">
        <w:t>Alliant Energy</w:t>
      </w:r>
      <w:r w:rsidRPr="00FC462E">
        <w:rPr>
          <w:rFonts w:cstheme="minorHAnsi"/>
        </w:rPr>
        <w:t xml:space="preserve">’s requirements may be awarded to one or more Bidders. </w:t>
      </w:r>
    </w:p>
    <w:p w14:paraId="41F96711" w14:textId="77777777" w:rsidR="00EA536E" w:rsidRPr="00FC462E" w:rsidRDefault="00EA536E" w:rsidP="00FC462E">
      <w:pPr>
        <w:pStyle w:val="ListParagraph"/>
        <w:rPr>
          <w:rFonts w:cstheme="minorHAnsi"/>
        </w:rPr>
      </w:pPr>
    </w:p>
    <w:p w14:paraId="54B410A9" w14:textId="1DB3580B" w:rsidR="00EA536E" w:rsidRPr="00FC462E" w:rsidRDefault="008D5AF5" w:rsidP="00CA27B9">
      <w:pPr>
        <w:pStyle w:val="ListParagraph"/>
        <w:numPr>
          <w:ilvl w:val="0"/>
          <w:numId w:val="9"/>
        </w:numPr>
        <w:rPr>
          <w:rFonts w:cstheme="minorHAnsi"/>
        </w:rPr>
      </w:pPr>
      <w:r>
        <w:t>Alliant Energy</w:t>
      </w:r>
      <w:r w:rsidDel="008D5AF5">
        <w:t xml:space="preserve"> </w:t>
      </w:r>
      <w:r w:rsidR="00CA27B9" w:rsidRPr="00094A05">
        <w:t>expressly reserve</w:t>
      </w:r>
      <w:r w:rsidR="00CA27B9">
        <w:t>s</w:t>
      </w:r>
      <w:r w:rsidR="00CA27B9" w:rsidRPr="00094A05">
        <w:t xml:space="preserve"> the right, </w:t>
      </w:r>
      <w:r w:rsidR="00CA27B9">
        <w:t>in</w:t>
      </w:r>
      <w:r w:rsidR="00CA27B9" w:rsidRPr="00094A05">
        <w:t xml:space="preserve"> </w:t>
      </w:r>
      <w:r w:rsidR="00CA27B9">
        <w:t>its</w:t>
      </w:r>
      <w:r w:rsidR="00CA27B9" w:rsidRPr="00094A05">
        <w:t xml:space="preserve"> sole discretion and without giving any explanation or notification thereof, to modify</w:t>
      </w:r>
      <w:r w:rsidR="00CA27B9">
        <w:t>, suspend,</w:t>
      </w:r>
      <w:r w:rsidR="00CA27B9" w:rsidRPr="00094A05">
        <w:t xml:space="preserve"> or terminate these </w:t>
      </w:r>
      <w:r w:rsidR="00CA27B9">
        <w:t xml:space="preserve">instructions, </w:t>
      </w:r>
      <w:r w:rsidR="00CA27B9" w:rsidRPr="00094A05">
        <w:t>guidelines</w:t>
      </w:r>
      <w:r w:rsidR="00CA27B9">
        <w:t>, or any provision of this RFP</w:t>
      </w:r>
      <w:r w:rsidR="00CA27B9" w:rsidRPr="00094A05">
        <w:t xml:space="preserve"> and, at any time, to amend the information provided or any written material furnished or information orally transmitted to any </w:t>
      </w:r>
      <w:r w:rsidR="00CA27B9">
        <w:t>Bidder</w:t>
      </w:r>
      <w:r w:rsidR="00CA27B9" w:rsidRPr="00094A05">
        <w:t xml:space="preserve">, to restrict access to further information, to terminate discussions with any </w:t>
      </w:r>
      <w:r w:rsidR="00CA27B9">
        <w:t>Bidder</w:t>
      </w:r>
      <w:r w:rsidR="00CA27B9" w:rsidRPr="00094A05">
        <w:t xml:space="preserve">, to reject any or all proposals, and to negotiate with any </w:t>
      </w:r>
      <w:r w:rsidR="00CA27B9">
        <w:t>Bidder</w:t>
      </w:r>
      <w:r w:rsidR="00CA27B9" w:rsidRPr="00094A05">
        <w:t xml:space="preserve">, whether or not such </w:t>
      </w:r>
      <w:r w:rsidR="00CA27B9">
        <w:t>Bidder</w:t>
      </w:r>
      <w:r w:rsidR="00CA27B9" w:rsidRPr="00094A05">
        <w:t xml:space="preserve"> participated in th</w:t>
      </w:r>
      <w:r w:rsidR="00CA27B9">
        <w:t xml:space="preserve">is RFP. It is expressly understood by Bidder that </w:t>
      </w:r>
      <w:r>
        <w:t>Alliant Energy</w:t>
      </w:r>
      <w:r w:rsidDel="008D5AF5">
        <w:t xml:space="preserve"> </w:t>
      </w:r>
      <w:r w:rsidR="00CA27B9">
        <w:t>will incur no liability by taking any of the above referenced actions.</w:t>
      </w:r>
      <w:r w:rsidR="00EA536E">
        <w:t xml:space="preserve">. </w:t>
      </w:r>
    </w:p>
    <w:p w14:paraId="66076161" w14:textId="77777777" w:rsidR="00EA536E" w:rsidRPr="00FC462E" w:rsidRDefault="00EA536E" w:rsidP="00FC462E">
      <w:pPr>
        <w:pStyle w:val="ListParagraph"/>
        <w:rPr>
          <w:rFonts w:cstheme="minorHAnsi"/>
        </w:rPr>
      </w:pPr>
    </w:p>
    <w:p w14:paraId="1B76E2DF" w14:textId="5FDE5656" w:rsidR="00EA536E" w:rsidRPr="003B4704" w:rsidRDefault="00EA536E" w:rsidP="003B4704">
      <w:pPr>
        <w:pStyle w:val="ListParagraph"/>
        <w:numPr>
          <w:ilvl w:val="0"/>
          <w:numId w:val="9"/>
        </w:numPr>
        <w:rPr>
          <w:rFonts w:cstheme="minorHAnsi"/>
        </w:rPr>
      </w:pPr>
      <w:r w:rsidRPr="00FC462E">
        <w:rPr>
          <w:rFonts w:cstheme="minorHAnsi"/>
        </w:rPr>
        <w:t xml:space="preserve">Bidders shall indemnify, hold harmless and defend </w:t>
      </w:r>
      <w:r w:rsidR="008D5AF5">
        <w:t>Alliant Energy</w:t>
      </w:r>
      <w:r w:rsidRPr="00FC462E">
        <w:rPr>
          <w:rFonts w:cstheme="minorHAnsi"/>
        </w:rPr>
        <w:t xml:space="preserve">, and its officers, employees and agents, from any and all damages, liabilities, claims, expenses (including reasonable attorneys’ fees), losses, judgments, proceedings or investigations incurred by, or asserted against, </w:t>
      </w:r>
      <w:r w:rsidR="008D5AF5">
        <w:t>Alliant Energy</w:t>
      </w:r>
      <w:r w:rsidR="008D5AF5" w:rsidDel="008D5AF5">
        <w:rPr>
          <w:rFonts w:cstheme="minorHAnsi"/>
        </w:rPr>
        <w:t xml:space="preserve"> </w:t>
      </w:r>
      <w:r w:rsidRPr="00FC462E">
        <w:rPr>
          <w:rFonts w:cstheme="minorHAnsi"/>
        </w:rPr>
        <w:t>or its officers, employees or agents, arising from or related to</w:t>
      </w:r>
      <w:r w:rsidR="00456364">
        <w:rPr>
          <w:rFonts w:cstheme="minorHAnsi"/>
        </w:rPr>
        <w:t>:</w:t>
      </w:r>
      <w:r w:rsidRPr="00FC462E">
        <w:rPr>
          <w:rFonts w:cstheme="minorHAnsi"/>
        </w:rPr>
        <w:t xml:space="preserve"> </w:t>
      </w:r>
      <w:r w:rsidR="00456364">
        <w:rPr>
          <w:rFonts w:cstheme="minorHAnsi"/>
        </w:rPr>
        <w:t>i) the Bidder’s negligence; or ii) Bidder’s breach of any binding agreement</w:t>
      </w:r>
      <w:r w:rsidRPr="00FC462E">
        <w:rPr>
          <w:rFonts w:cstheme="minorHAnsi"/>
        </w:rPr>
        <w:t xml:space="preserve">. </w:t>
      </w:r>
    </w:p>
    <w:p w14:paraId="2A73C3C7" w14:textId="26C09B71" w:rsidR="00AD731F" w:rsidRDefault="00AD731F" w:rsidP="00AD731F">
      <w:pPr>
        <w:pStyle w:val="ListParagraph"/>
      </w:pPr>
    </w:p>
    <w:p w14:paraId="5E800C88" w14:textId="663D8BA3" w:rsidR="00EA536E" w:rsidRPr="00DB0CA1" w:rsidRDefault="008D5AF5" w:rsidP="00FC462E">
      <w:pPr>
        <w:pStyle w:val="ListParagraph"/>
        <w:numPr>
          <w:ilvl w:val="0"/>
          <w:numId w:val="9"/>
        </w:numPr>
        <w:rPr>
          <w:rFonts w:cstheme="minorHAnsi"/>
        </w:rPr>
      </w:pPr>
      <w:r>
        <w:t>Alliant Energy</w:t>
      </w:r>
      <w:r w:rsidDel="008D5AF5">
        <w:t xml:space="preserve"> </w:t>
      </w:r>
      <w:r w:rsidR="00EA536E">
        <w:t xml:space="preserve">reserves the right to request clarifying information be submitted, and to request additional information from any Bidder. By submitting a proposal, the Bidder agrees, at its </w:t>
      </w:r>
      <w:r w:rsidR="00EA536E">
        <w:lastRenderedPageBreak/>
        <w:t xml:space="preserve">expense, to provide additional information and documents, in either case as requested by </w:t>
      </w:r>
      <w:r>
        <w:t>Alliant Energy</w:t>
      </w:r>
      <w:r w:rsidDel="008D5AF5">
        <w:t xml:space="preserve"> </w:t>
      </w:r>
      <w:r w:rsidR="00EA536E">
        <w:t xml:space="preserve">in order to facilitate the review of a proposal or transaction. </w:t>
      </w:r>
    </w:p>
    <w:p w14:paraId="14679EC9" w14:textId="77777777" w:rsidR="00DB0CA1" w:rsidRPr="00DB0CA1" w:rsidRDefault="00DB0CA1" w:rsidP="00C0683E">
      <w:pPr>
        <w:pStyle w:val="ListParagraph"/>
        <w:rPr>
          <w:rFonts w:cstheme="minorHAnsi"/>
        </w:rPr>
      </w:pPr>
    </w:p>
    <w:p w14:paraId="1007C044" w14:textId="67030687" w:rsidR="00DB0CA1" w:rsidRPr="00FC462E" w:rsidRDefault="00DB0CA1" w:rsidP="00C0683E">
      <w:pPr>
        <w:pStyle w:val="ListParagraph"/>
        <w:rPr>
          <w:rFonts w:cstheme="minorHAnsi"/>
        </w:rPr>
      </w:pPr>
    </w:p>
    <w:p w14:paraId="172E0496" w14:textId="1BE5E799" w:rsidR="00656952" w:rsidRPr="00693D04" w:rsidRDefault="00656952" w:rsidP="00693D04">
      <w:pPr>
        <w:pStyle w:val="Heading1"/>
        <w:numPr>
          <w:ilvl w:val="0"/>
          <w:numId w:val="6"/>
        </w:numPr>
        <w:rPr>
          <w:rFonts w:asciiTheme="minorHAnsi" w:hAnsiTheme="minorHAnsi" w:cstheme="minorHAnsi"/>
        </w:rPr>
      </w:pPr>
      <w:r w:rsidRPr="00FC462E">
        <w:rPr>
          <w:rFonts w:asciiTheme="minorHAnsi" w:hAnsiTheme="minorHAnsi" w:cstheme="minorHAnsi"/>
        </w:rPr>
        <w:t xml:space="preserve">PROPOSAL SUBMISSION </w:t>
      </w:r>
    </w:p>
    <w:p w14:paraId="130134F4" w14:textId="3039097E" w:rsidR="00656952" w:rsidRPr="00FC462E" w:rsidRDefault="00656952" w:rsidP="00FC462E">
      <w:pPr>
        <w:pStyle w:val="ListParagraph"/>
        <w:rPr>
          <w:rFonts w:cstheme="minorHAnsi"/>
        </w:rPr>
      </w:pPr>
      <w:r w:rsidRPr="00FC462E">
        <w:rPr>
          <w:rFonts w:cstheme="minorHAnsi"/>
        </w:rPr>
        <w:t>Bidders must submit proposals according to the time schedule provided Table 1 of this document. The Bidder may proactively send a proposed Definitive Agreement, and any other pertaining documents, as this may aid in reducing the time to evaluate all the proposals.</w:t>
      </w:r>
    </w:p>
    <w:p w14:paraId="06B2ABB8" w14:textId="77777777" w:rsidR="00656952" w:rsidRPr="00FC462E" w:rsidRDefault="00656952" w:rsidP="00FC462E">
      <w:pPr>
        <w:pStyle w:val="ListParagraph"/>
        <w:rPr>
          <w:rFonts w:cstheme="minorHAnsi"/>
        </w:rPr>
      </w:pPr>
    </w:p>
    <w:p w14:paraId="694AA2B6" w14:textId="10F88F2F" w:rsidR="00656952" w:rsidRPr="00FC462E" w:rsidRDefault="00656952" w:rsidP="00FC462E">
      <w:pPr>
        <w:pStyle w:val="ListParagraph"/>
      </w:pPr>
      <w:r w:rsidRPr="00C0683E">
        <w:t xml:space="preserve">Proposals must be submitted via email to </w:t>
      </w:r>
      <w:bookmarkStart w:id="2" w:name="_Hlk201046991"/>
      <w:r w:rsidR="00C0683E" w:rsidRPr="00C0683E">
        <w:rPr>
          <w:color w:val="FF0000"/>
        </w:rPr>
        <w:t>RFP2025</w:t>
      </w:r>
      <w:r w:rsidR="009A6E02" w:rsidRPr="00C0683E">
        <w:rPr>
          <w:color w:val="FF0000"/>
        </w:rPr>
        <w:t>@alliantenergy.com</w:t>
      </w:r>
      <w:bookmarkEnd w:id="2"/>
      <w:r w:rsidRPr="00C0683E">
        <w:t xml:space="preserve">. Proposals submitted via other methods of delivery will not be considered. All questions should be directed to </w:t>
      </w:r>
      <w:r w:rsidR="00C0683E" w:rsidRPr="00C0683E">
        <w:t xml:space="preserve">Gunnar Malm via </w:t>
      </w:r>
      <w:r w:rsidR="00C0683E" w:rsidRPr="00C0683E">
        <w:rPr>
          <w:color w:val="FF0000"/>
        </w:rPr>
        <w:t>RFP2025@alliantenergy.com</w:t>
      </w:r>
      <w:r w:rsidRPr="00C0683E">
        <w:t>.</w:t>
      </w:r>
      <w:r w:rsidRPr="0335E38C">
        <w:t xml:space="preserve"> </w:t>
      </w:r>
      <w:r w:rsidR="00FC462E" w:rsidRPr="0335E38C">
        <w:t xml:space="preserve"> </w:t>
      </w:r>
    </w:p>
    <w:p w14:paraId="6F5119F3" w14:textId="77777777" w:rsidR="00656952" w:rsidRPr="00FC462E" w:rsidRDefault="00656952" w:rsidP="00FC462E">
      <w:pPr>
        <w:pStyle w:val="Heading1"/>
        <w:numPr>
          <w:ilvl w:val="0"/>
          <w:numId w:val="6"/>
        </w:numPr>
        <w:rPr>
          <w:rFonts w:asciiTheme="minorHAnsi" w:hAnsiTheme="minorHAnsi" w:cstheme="minorHAnsi"/>
        </w:rPr>
      </w:pPr>
      <w:r w:rsidRPr="00FC462E">
        <w:rPr>
          <w:rFonts w:asciiTheme="minorHAnsi" w:hAnsiTheme="minorHAnsi" w:cstheme="minorHAnsi"/>
        </w:rPr>
        <w:t xml:space="preserve">ERRORS, MODIFICATION OR WITHDRAWAL OF PROPOSAL </w:t>
      </w:r>
    </w:p>
    <w:p w14:paraId="2FBE3D0E" w14:textId="77777777" w:rsidR="00656952" w:rsidRPr="00FC462E" w:rsidRDefault="00656952" w:rsidP="00FC462E">
      <w:pPr>
        <w:pStyle w:val="Default"/>
        <w:ind w:left="720"/>
        <w:rPr>
          <w:rFonts w:asciiTheme="minorHAnsi" w:hAnsiTheme="minorHAnsi" w:cstheme="minorHAnsi"/>
          <w:color w:val="auto"/>
          <w:kern w:val="2"/>
          <w:sz w:val="22"/>
          <w:szCs w:val="22"/>
        </w:rPr>
      </w:pPr>
    </w:p>
    <w:p w14:paraId="155D6675" w14:textId="19AEEE69" w:rsidR="00656952" w:rsidRPr="00FC462E" w:rsidRDefault="00656952" w:rsidP="00FC462E">
      <w:pPr>
        <w:pStyle w:val="Default"/>
        <w:ind w:left="720"/>
        <w:rPr>
          <w:rFonts w:asciiTheme="minorHAnsi" w:hAnsiTheme="minorHAnsi" w:cstheme="minorHAnsi"/>
          <w:color w:val="auto"/>
          <w:kern w:val="2"/>
          <w:sz w:val="22"/>
          <w:szCs w:val="22"/>
        </w:rPr>
      </w:pPr>
      <w:r>
        <w:t xml:space="preserve">Bidder is expected to carefully review the information provided in this RFP as it contains important instructions that must be followed in preparing the proposal. Bidder assumes the risk of any non-compliance resulting from errors on the part of the Bidder or the failure of the Bidder to follow the RFP. Amendments to proposals received by </w:t>
      </w:r>
      <w:r w:rsidR="008D5AF5">
        <w:t>Alliant Energy</w:t>
      </w:r>
      <w:r w:rsidR="008D5AF5" w:rsidDel="008D5AF5">
        <w:t xml:space="preserve"> </w:t>
      </w:r>
      <w:r>
        <w:t xml:space="preserve">will only be accepted if submitted by Bidder prior to the proposal due date. Retractions of proposals received by </w:t>
      </w:r>
      <w:r w:rsidR="008D5AF5">
        <w:t>Alliant Energy</w:t>
      </w:r>
      <w:r w:rsidR="008D5AF5" w:rsidDel="008D5AF5">
        <w:t xml:space="preserve"> </w:t>
      </w:r>
      <w:r>
        <w:t xml:space="preserve">will only be accepted if such requests are submitted by Bidder prior to the proposal due date via the email address noted above. </w:t>
      </w:r>
    </w:p>
    <w:p w14:paraId="3B304EA0" w14:textId="77777777" w:rsidR="00656952" w:rsidRPr="00FC462E" w:rsidRDefault="00656952" w:rsidP="00FC462E">
      <w:pPr>
        <w:pStyle w:val="Heading1"/>
        <w:numPr>
          <w:ilvl w:val="0"/>
          <w:numId w:val="6"/>
        </w:numPr>
        <w:rPr>
          <w:rFonts w:asciiTheme="minorHAnsi" w:hAnsiTheme="minorHAnsi" w:cstheme="minorHAnsi"/>
        </w:rPr>
      </w:pPr>
      <w:r w:rsidRPr="00FC462E">
        <w:rPr>
          <w:rFonts w:asciiTheme="minorHAnsi" w:hAnsiTheme="minorHAnsi" w:cstheme="minorHAnsi"/>
        </w:rPr>
        <w:t xml:space="preserve">CREDITWORTHINESS AND PERFORMANCE ASSURANCE </w:t>
      </w:r>
    </w:p>
    <w:p w14:paraId="47452BD6" w14:textId="1E77F0F5" w:rsidR="00656952" w:rsidRPr="00693D04" w:rsidRDefault="00656952" w:rsidP="00693D04">
      <w:pPr>
        <w:pStyle w:val="Default"/>
        <w:ind w:left="720"/>
        <w:rPr>
          <w:rFonts w:asciiTheme="minorHAnsi" w:hAnsiTheme="minorHAnsi" w:cstheme="minorBidi"/>
          <w:color w:val="auto"/>
          <w:sz w:val="22"/>
          <w:szCs w:val="22"/>
        </w:rPr>
      </w:pPr>
      <w:r>
        <w:t xml:space="preserve">In addition to any creditworthiness provisions in the Key Terms and Conditions Section of this document, prior to awarding the bid or executing the DA, </w:t>
      </w:r>
      <w:r w:rsidR="008D5AF5">
        <w:t>Alliant Energy</w:t>
      </w:r>
      <w:r w:rsidR="008D5AF5" w:rsidDel="008D5AF5">
        <w:t xml:space="preserve"> </w:t>
      </w:r>
      <w:r>
        <w:t xml:space="preserve">may require Bidder to provide performance assurance or such information as is necessary for </w:t>
      </w:r>
      <w:r w:rsidR="008D5AF5">
        <w:t>Alliant Energy</w:t>
      </w:r>
      <w:r w:rsidR="008D5AF5" w:rsidDel="008D5AF5">
        <w:t xml:space="preserve"> </w:t>
      </w:r>
      <w:r>
        <w:t xml:space="preserve">to analyze potential credit and risk concerns. The Bidder may also proactively send proof of credit worthiness with any submitted proposal. </w:t>
      </w:r>
      <w:r w:rsidR="008D5AF5">
        <w:t>Alliant Energy</w:t>
      </w:r>
      <w:r w:rsidR="008D5AF5" w:rsidDel="008D5AF5">
        <w:t xml:space="preserve"> </w:t>
      </w:r>
      <w:r>
        <w:t xml:space="preserve">may request additional credit support sureties as it, in its sole discretion, deems necessary. To the extent required to facilitate firm bid pricing, </w:t>
      </w:r>
      <w:r w:rsidR="008D5AF5">
        <w:t>Alliant Energy</w:t>
      </w:r>
      <w:r w:rsidR="008D5AF5" w:rsidDel="008D5AF5">
        <w:t xml:space="preserve"> </w:t>
      </w:r>
      <w:r>
        <w:t xml:space="preserve">can provide certain credit information related to </w:t>
      </w:r>
      <w:r w:rsidR="008D5AF5">
        <w:t>Alliant Energy</w:t>
      </w:r>
      <w:r w:rsidR="008D5AF5" w:rsidDel="008D5AF5">
        <w:t xml:space="preserve"> </w:t>
      </w:r>
      <w:r>
        <w:t>upon request.</w:t>
      </w:r>
    </w:p>
    <w:p w14:paraId="2A0B5C81" w14:textId="15509A92" w:rsidR="00FC462E" w:rsidRPr="00EA11C6" w:rsidRDefault="00A3343B" w:rsidP="00EA11C6">
      <w:pPr>
        <w:pStyle w:val="Heading1"/>
        <w:numPr>
          <w:ilvl w:val="0"/>
          <w:numId w:val="6"/>
        </w:numPr>
        <w:rPr>
          <w:rFonts w:asciiTheme="minorHAnsi" w:hAnsiTheme="minorHAnsi" w:cstheme="minorHAnsi"/>
        </w:rPr>
      </w:pPr>
      <w:r w:rsidRPr="00FC462E">
        <w:rPr>
          <w:rFonts w:asciiTheme="minorHAnsi" w:hAnsiTheme="minorHAnsi" w:cstheme="minorHAnsi"/>
        </w:rPr>
        <w:t xml:space="preserve">COLLUSION </w:t>
      </w:r>
    </w:p>
    <w:p w14:paraId="2E3957AE" w14:textId="5C15BC3D" w:rsidR="00FC462E" w:rsidRDefault="00A3343B" w:rsidP="00FC462E">
      <w:pPr>
        <w:pStyle w:val="Default"/>
        <w:ind w:left="720"/>
        <w:rPr>
          <w:rFonts w:asciiTheme="minorHAnsi" w:hAnsiTheme="minorHAnsi" w:cstheme="minorHAnsi"/>
          <w:color w:val="auto"/>
          <w:kern w:val="2"/>
          <w:sz w:val="22"/>
          <w:szCs w:val="22"/>
        </w:rPr>
      </w:pPr>
      <w:r>
        <w:t xml:space="preserve">By submitting a proposal to </w:t>
      </w:r>
      <w:r w:rsidR="008D5AF5">
        <w:t>Alliant Energy</w:t>
      </w:r>
      <w:r w:rsidR="008D5AF5" w:rsidDel="008D5AF5">
        <w:t xml:space="preserve"> </w:t>
      </w:r>
      <w:r>
        <w:t>in response to this RFP, Bidder certifies that Bidder has not divulged, discussed, or compared its proposal with other Bidders and has not colluded whatsoever with any other Bidder or parties with respect to this or other proposals.</w:t>
      </w:r>
    </w:p>
    <w:p w14:paraId="4AAA219B" w14:textId="4E180C29" w:rsidR="00FC462E" w:rsidRPr="00EA11C6" w:rsidRDefault="15634679" w:rsidP="00EA11C6">
      <w:pPr>
        <w:pStyle w:val="Heading1"/>
        <w:numPr>
          <w:ilvl w:val="0"/>
          <w:numId w:val="6"/>
        </w:numPr>
        <w:tabs>
          <w:tab w:val="left" w:pos="900"/>
        </w:tabs>
        <w:rPr>
          <w:rFonts w:asciiTheme="minorHAnsi" w:hAnsiTheme="minorHAnsi" w:cstheme="minorHAnsi"/>
        </w:rPr>
      </w:pPr>
      <w:r w:rsidRPr="007E35A5">
        <w:rPr>
          <w:rFonts w:asciiTheme="minorHAnsi" w:hAnsiTheme="minorHAnsi" w:cstheme="minorHAnsi"/>
        </w:rPr>
        <w:lastRenderedPageBreak/>
        <w:t>CONSENT AND APPROVAL</w:t>
      </w:r>
      <w:r w:rsidR="00FC462E" w:rsidRPr="007E35A5">
        <w:rPr>
          <w:rFonts w:asciiTheme="minorHAnsi" w:hAnsiTheme="minorHAnsi" w:cstheme="minorHAnsi"/>
        </w:rPr>
        <w:t xml:space="preserve"> </w:t>
      </w:r>
    </w:p>
    <w:p w14:paraId="0EEF844C" w14:textId="1075400B" w:rsidR="00A3343B" w:rsidRPr="00C0683E" w:rsidRDefault="00FC462E" w:rsidP="00FC462E">
      <w:pPr>
        <w:pStyle w:val="Default"/>
        <w:ind w:left="720"/>
        <w:rPr>
          <w:rFonts w:asciiTheme="minorHAnsi" w:hAnsiTheme="minorHAnsi" w:cstheme="minorBidi"/>
        </w:rPr>
      </w:pPr>
      <w:r w:rsidRPr="00C0683E">
        <w:rPr>
          <w:rFonts w:asciiTheme="minorHAnsi" w:hAnsiTheme="minorHAnsi" w:cstheme="minorBidi"/>
        </w:rPr>
        <w:t>A</w:t>
      </w:r>
      <w:r w:rsidR="00A3343B" w:rsidRPr="00C0683E">
        <w:rPr>
          <w:rFonts w:asciiTheme="minorHAnsi" w:hAnsiTheme="minorHAnsi" w:cstheme="minorBidi"/>
        </w:rPr>
        <w:t xml:space="preserve">ny Definitive Agreement entered into as a result of this RFP may be conditioned upon regulatory actions and/or approvals by state or federal regulatory authorities. </w:t>
      </w:r>
      <w:r w:rsidR="008D5AF5">
        <w:t>Alliant Energy</w:t>
      </w:r>
      <w:r w:rsidR="008D5AF5" w:rsidDel="008D5AF5">
        <w:rPr>
          <w:rFonts w:asciiTheme="minorHAnsi" w:hAnsiTheme="minorHAnsi" w:cstheme="minorBidi"/>
        </w:rPr>
        <w:t xml:space="preserve"> </w:t>
      </w:r>
      <w:r w:rsidR="00A3343B" w:rsidRPr="00C0683E">
        <w:rPr>
          <w:rFonts w:asciiTheme="minorHAnsi" w:hAnsiTheme="minorHAnsi" w:cstheme="minorBidi"/>
        </w:rPr>
        <w:t xml:space="preserve">reserves the right to make any regulatory filings or seek any regulatory consents and approvals of third parties or governmental authorities that </w:t>
      </w:r>
      <w:r w:rsidR="008D5AF5">
        <w:t>Alliant Energy</w:t>
      </w:r>
      <w:r w:rsidR="00A3343B" w:rsidRPr="00C0683E">
        <w:rPr>
          <w:rFonts w:asciiTheme="minorHAnsi" w:hAnsiTheme="minorHAnsi" w:cstheme="minorBidi"/>
        </w:rPr>
        <w:t xml:space="preserve">, in its sole discretion, determines are necessary prior to or as a condition of the consummation of any transaction. All consents or approvals must be in </w:t>
      </w:r>
      <w:r w:rsidR="7EB7C4A5" w:rsidRPr="00C0683E">
        <w:rPr>
          <w:rFonts w:asciiTheme="minorHAnsi" w:hAnsiTheme="minorHAnsi" w:cstheme="minorBidi"/>
        </w:rPr>
        <w:t>a</w:t>
      </w:r>
      <w:r w:rsidR="00A3343B" w:rsidRPr="00C0683E">
        <w:rPr>
          <w:rFonts w:asciiTheme="minorHAnsi" w:hAnsiTheme="minorHAnsi" w:cstheme="minorBidi"/>
        </w:rPr>
        <w:t xml:space="preserve"> form and substance satisfactory to </w:t>
      </w:r>
      <w:r w:rsidR="008D5AF5">
        <w:t>Alliant Energy</w:t>
      </w:r>
      <w:r w:rsidR="00A3343B" w:rsidRPr="00C0683E">
        <w:rPr>
          <w:rFonts w:asciiTheme="minorHAnsi" w:hAnsiTheme="minorHAnsi" w:cstheme="minorBidi"/>
        </w:rPr>
        <w:t xml:space="preserve">. Bidder will be required to support </w:t>
      </w:r>
      <w:r w:rsidR="008D5AF5">
        <w:t>Alliant Energy</w:t>
      </w:r>
      <w:r w:rsidR="00A3343B" w:rsidRPr="00C0683E">
        <w:rPr>
          <w:rFonts w:asciiTheme="minorHAnsi" w:hAnsiTheme="minorHAnsi" w:cstheme="minorBidi"/>
        </w:rPr>
        <w:t xml:space="preserve">’s efforts in securing all consents and approvals. </w:t>
      </w:r>
    </w:p>
    <w:p w14:paraId="15B311AF" w14:textId="77777777" w:rsidR="00A3343B" w:rsidRPr="007E35A5" w:rsidRDefault="00A3343B" w:rsidP="00FD70C5">
      <w:pPr>
        <w:pStyle w:val="Heading1"/>
        <w:numPr>
          <w:ilvl w:val="0"/>
          <w:numId w:val="6"/>
        </w:numPr>
        <w:tabs>
          <w:tab w:val="left" w:pos="900"/>
        </w:tabs>
        <w:rPr>
          <w:rFonts w:asciiTheme="minorHAnsi" w:hAnsiTheme="minorHAnsi" w:cstheme="minorHAnsi"/>
        </w:rPr>
      </w:pPr>
      <w:r w:rsidRPr="007E35A5">
        <w:rPr>
          <w:rFonts w:asciiTheme="minorHAnsi" w:hAnsiTheme="minorHAnsi" w:cstheme="minorHAnsi"/>
        </w:rPr>
        <w:t xml:space="preserve">COMPLIANCE WITH REGULATIONS AND TARIFFS </w:t>
      </w:r>
    </w:p>
    <w:p w14:paraId="11BA1149" w14:textId="3F6D7601" w:rsidR="00A3343B" w:rsidRPr="00FC462E" w:rsidRDefault="00A3343B" w:rsidP="00FC462E">
      <w:pPr>
        <w:pStyle w:val="Default"/>
        <w:ind w:left="720"/>
        <w:rPr>
          <w:rFonts w:asciiTheme="minorHAnsi" w:hAnsiTheme="minorHAnsi" w:cstheme="minorHAnsi"/>
          <w:sz w:val="22"/>
          <w:szCs w:val="22"/>
        </w:rPr>
      </w:pPr>
      <w:r>
        <w:t xml:space="preserve">Any Bidder whose proposal is selected for evaluation will be responsible for acquiring, and/or verifying that it is in compliance with all necessary licenses, permits, certifications, reporting requirements and approvals required by federal, state and local government laws, regulations and policies, including if applicable, for the design, construction and operation of the project. Bidder shall also be responsible for ensuring and verifying it complies with all applicable MISO Tariff requirements. </w:t>
      </w:r>
    </w:p>
    <w:p w14:paraId="2A35E587" w14:textId="77777777" w:rsidR="00A3343B" w:rsidRPr="007E35A5" w:rsidRDefault="00A3343B" w:rsidP="00FD70C5">
      <w:pPr>
        <w:pStyle w:val="Heading1"/>
        <w:numPr>
          <w:ilvl w:val="0"/>
          <w:numId w:val="6"/>
        </w:numPr>
        <w:tabs>
          <w:tab w:val="left" w:pos="900"/>
        </w:tabs>
        <w:rPr>
          <w:rFonts w:asciiTheme="minorHAnsi" w:hAnsiTheme="minorHAnsi" w:cstheme="minorHAnsi"/>
        </w:rPr>
      </w:pPr>
      <w:r w:rsidRPr="007E35A5">
        <w:rPr>
          <w:rFonts w:asciiTheme="minorHAnsi" w:hAnsiTheme="minorHAnsi" w:cstheme="minorHAnsi"/>
        </w:rPr>
        <w:t xml:space="preserve">CONFIDENTIALITY </w:t>
      </w:r>
    </w:p>
    <w:p w14:paraId="0BD40E54" w14:textId="4BEED33C" w:rsidR="00A3343B" w:rsidRPr="00FC462E" w:rsidRDefault="00A3343B" w:rsidP="00FC462E">
      <w:pPr>
        <w:pStyle w:val="Default"/>
        <w:ind w:left="720"/>
        <w:rPr>
          <w:rFonts w:asciiTheme="minorHAnsi" w:hAnsiTheme="minorHAnsi" w:cstheme="minorHAnsi"/>
        </w:rPr>
      </w:pPr>
      <w:r>
        <w:t xml:space="preserve">All information provided by </w:t>
      </w:r>
      <w:r w:rsidR="008D5AF5">
        <w:t>Alliant Energy</w:t>
      </w:r>
      <w:r w:rsidR="008D5AF5" w:rsidDel="008D5AF5">
        <w:t xml:space="preserve"> </w:t>
      </w:r>
      <w:r>
        <w:t>in this RFP or subsequent verbal or written communications shall be considered confidential and for express use only in connection with the preparation of the RFP response. Bidders may not use, disclose, or duplicate this RFP or any information contained herein for any purpose other than responding to this RFP. Bidder’s responses to this RFP will be treated in a confidential manner. All responses will be the property of the Buyer upon submittal and all claims, representations, and other response contents will be considered to be part and parcel of any possible future contracts between the Bidder and the Buyer.</w:t>
      </w:r>
    </w:p>
    <w:sectPr w:rsidR="00A3343B" w:rsidRPr="00FC4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BC2B"/>
    <w:multiLevelType w:val="hybridMultilevel"/>
    <w:tmpl w:val="FFFFFFFF"/>
    <w:lvl w:ilvl="0" w:tplc="C80C0042">
      <w:start w:val="1"/>
      <w:numFmt w:val="decimal"/>
      <w:lvlText w:val="%1."/>
      <w:lvlJc w:val="left"/>
      <w:pPr>
        <w:ind w:left="720" w:hanging="360"/>
      </w:pPr>
    </w:lvl>
    <w:lvl w:ilvl="1" w:tplc="5B9269F4">
      <w:start w:val="1"/>
      <w:numFmt w:val="lowerLetter"/>
      <w:lvlText w:val="%2."/>
      <w:lvlJc w:val="left"/>
      <w:pPr>
        <w:ind w:left="1440" w:hanging="360"/>
      </w:pPr>
    </w:lvl>
    <w:lvl w:ilvl="2" w:tplc="2A8A7256">
      <w:start w:val="1"/>
      <w:numFmt w:val="lowerRoman"/>
      <w:lvlText w:val="%3."/>
      <w:lvlJc w:val="right"/>
      <w:pPr>
        <w:ind w:left="2160" w:hanging="180"/>
      </w:pPr>
    </w:lvl>
    <w:lvl w:ilvl="3" w:tplc="C4964C24">
      <w:start w:val="1"/>
      <w:numFmt w:val="decimal"/>
      <w:lvlText w:val="%4."/>
      <w:lvlJc w:val="left"/>
      <w:pPr>
        <w:ind w:left="2880" w:hanging="360"/>
      </w:pPr>
    </w:lvl>
    <w:lvl w:ilvl="4" w:tplc="70748A06">
      <w:start w:val="1"/>
      <w:numFmt w:val="lowerLetter"/>
      <w:lvlText w:val="%5."/>
      <w:lvlJc w:val="left"/>
      <w:pPr>
        <w:ind w:left="3600" w:hanging="360"/>
      </w:pPr>
    </w:lvl>
    <w:lvl w:ilvl="5" w:tplc="805CC252">
      <w:start w:val="1"/>
      <w:numFmt w:val="lowerRoman"/>
      <w:lvlText w:val="%6."/>
      <w:lvlJc w:val="right"/>
      <w:pPr>
        <w:ind w:left="4320" w:hanging="180"/>
      </w:pPr>
    </w:lvl>
    <w:lvl w:ilvl="6" w:tplc="64A81CDE">
      <w:start w:val="1"/>
      <w:numFmt w:val="decimal"/>
      <w:lvlText w:val="%7."/>
      <w:lvlJc w:val="left"/>
      <w:pPr>
        <w:ind w:left="5040" w:hanging="360"/>
      </w:pPr>
    </w:lvl>
    <w:lvl w:ilvl="7" w:tplc="C34E184E">
      <w:start w:val="1"/>
      <w:numFmt w:val="lowerLetter"/>
      <w:lvlText w:val="%8."/>
      <w:lvlJc w:val="left"/>
      <w:pPr>
        <w:ind w:left="5760" w:hanging="360"/>
      </w:pPr>
    </w:lvl>
    <w:lvl w:ilvl="8" w:tplc="B5E6B45A">
      <w:start w:val="1"/>
      <w:numFmt w:val="lowerRoman"/>
      <w:lvlText w:val="%9."/>
      <w:lvlJc w:val="right"/>
      <w:pPr>
        <w:ind w:left="6480" w:hanging="180"/>
      </w:pPr>
    </w:lvl>
  </w:abstractNum>
  <w:abstractNum w:abstractNumId="1" w15:restartNumberingAfterBreak="0">
    <w:nsid w:val="167B2D74"/>
    <w:multiLevelType w:val="hybridMultilevel"/>
    <w:tmpl w:val="DF44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E39FE"/>
    <w:multiLevelType w:val="multilevel"/>
    <w:tmpl w:val="1512945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43820"/>
    <w:multiLevelType w:val="multilevel"/>
    <w:tmpl w:val="010EC17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53842709"/>
    <w:multiLevelType w:val="hybridMultilevel"/>
    <w:tmpl w:val="0108C69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57475B"/>
    <w:multiLevelType w:val="hybridMultilevel"/>
    <w:tmpl w:val="386CE184"/>
    <w:lvl w:ilvl="0" w:tplc="1E261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8AC56"/>
    <w:multiLevelType w:val="hybridMultilevel"/>
    <w:tmpl w:val="FEF23AD0"/>
    <w:lvl w:ilvl="0" w:tplc="9AC896CC">
      <w:start w:val="1"/>
      <w:numFmt w:val="bullet"/>
      <w:lvlText w:val=""/>
      <w:lvlJc w:val="left"/>
      <w:pPr>
        <w:ind w:left="720" w:hanging="360"/>
      </w:pPr>
      <w:rPr>
        <w:rFonts w:ascii="Symbol" w:hAnsi="Symbol" w:hint="default"/>
      </w:rPr>
    </w:lvl>
    <w:lvl w:ilvl="1" w:tplc="B186F87A">
      <w:start w:val="1"/>
      <w:numFmt w:val="bullet"/>
      <w:lvlText w:val=""/>
      <w:lvlJc w:val="left"/>
      <w:pPr>
        <w:ind w:left="1440" w:hanging="360"/>
      </w:pPr>
      <w:rPr>
        <w:rFonts w:ascii="Symbol" w:hAnsi="Symbol" w:hint="default"/>
      </w:rPr>
    </w:lvl>
    <w:lvl w:ilvl="2" w:tplc="030C382A">
      <w:start w:val="1"/>
      <w:numFmt w:val="bullet"/>
      <w:lvlText w:val=""/>
      <w:lvlJc w:val="left"/>
      <w:pPr>
        <w:ind w:left="2160" w:hanging="360"/>
      </w:pPr>
      <w:rPr>
        <w:rFonts w:ascii="Wingdings" w:hAnsi="Wingdings" w:hint="default"/>
      </w:rPr>
    </w:lvl>
    <w:lvl w:ilvl="3" w:tplc="0DCCBC66">
      <w:start w:val="1"/>
      <w:numFmt w:val="bullet"/>
      <w:lvlText w:val=""/>
      <w:lvlJc w:val="left"/>
      <w:pPr>
        <w:ind w:left="2880" w:hanging="360"/>
      </w:pPr>
      <w:rPr>
        <w:rFonts w:ascii="Symbol" w:hAnsi="Symbol" w:hint="default"/>
      </w:rPr>
    </w:lvl>
    <w:lvl w:ilvl="4" w:tplc="43A8D2FE">
      <w:start w:val="1"/>
      <w:numFmt w:val="bullet"/>
      <w:lvlText w:val="o"/>
      <w:lvlJc w:val="left"/>
      <w:pPr>
        <w:ind w:left="3600" w:hanging="360"/>
      </w:pPr>
      <w:rPr>
        <w:rFonts w:ascii="Courier New" w:hAnsi="Courier New" w:hint="default"/>
      </w:rPr>
    </w:lvl>
    <w:lvl w:ilvl="5" w:tplc="EF6E09F6">
      <w:start w:val="1"/>
      <w:numFmt w:val="bullet"/>
      <w:lvlText w:val=""/>
      <w:lvlJc w:val="left"/>
      <w:pPr>
        <w:ind w:left="4320" w:hanging="360"/>
      </w:pPr>
      <w:rPr>
        <w:rFonts w:ascii="Wingdings" w:hAnsi="Wingdings" w:hint="default"/>
      </w:rPr>
    </w:lvl>
    <w:lvl w:ilvl="6" w:tplc="A0707BDA">
      <w:start w:val="1"/>
      <w:numFmt w:val="bullet"/>
      <w:lvlText w:val=""/>
      <w:lvlJc w:val="left"/>
      <w:pPr>
        <w:ind w:left="5040" w:hanging="360"/>
      </w:pPr>
      <w:rPr>
        <w:rFonts w:ascii="Symbol" w:hAnsi="Symbol" w:hint="default"/>
      </w:rPr>
    </w:lvl>
    <w:lvl w:ilvl="7" w:tplc="C2327F84">
      <w:start w:val="1"/>
      <w:numFmt w:val="bullet"/>
      <w:lvlText w:val="o"/>
      <w:lvlJc w:val="left"/>
      <w:pPr>
        <w:ind w:left="5760" w:hanging="360"/>
      </w:pPr>
      <w:rPr>
        <w:rFonts w:ascii="Courier New" w:hAnsi="Courier New" w:hint="default"/>
      </w:rPr>
    </w:lvl>
    <w:lvl w:ilvl="8" w:tplc="4F5013E2">
      <w:start w:val="1"/>
      <w:numFmt w:val="bullet"/>
      <w:lvlText w:val=""/>
      <w:lvlJc w:val="left"/>
      <w:pPr>
        <w:ind w:left="6480" w:hanging="360"/>
      </w:pPr>
      <w:rPr>
        <w:rFonts w:ascii="Wingdings" w:hAnsi="Wingdings" w:hint="default"/>
      </w:rPr>
    </w:lvl>
  </w:abstractNum>
  <w:abstractNum w:abstractNumId="7" w15:restartNumberingAfterBreak="0">
    <w:nsid w:val="62F21DE9"/>
    <w:multiLevelType w:val="hybridMultilevel"/>
    <w:tmpl w:val="39BE782C"/>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8" w15:restartNumberingAfterBreak="0">
    <w:nsid w:val="632C4D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793356"/>
    <w:multiLevelType w:val="hybridMultilevel"/>
    <w:tmpl w:val="BA829628"/>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E2C8FD"/>
    <w:multiLevelType w:val="hybridMultilevel"/>
    <w:tmpl w:val="FFFFFFFF"/>
    <w:lvl w:ilvl="0" w:tplc="763C442C">
      <w:start w:val="1"/>
      <w:numFmt w:val="decimal"/>
      <w:lvlText w:val="%1."/>
      <w:lvlJc w:val="left"/>
      <w:pPr>
        <w:ind w:left="720" w:hanging="360"/>
      </w:pPr>
    </w:lvl>
    <w:lvl w:ilvl="1" w:tplc="C07E4582">
      <w:start w:val="1"/>
      <w:numFmt w:val="lowerLetter"/>
      <w:lvlText w:val="%2."/>
      <w:lvlJc w:val="left"/>
      <w:pPr>
        <w:ind w:left="1440" w:hanging="360"/>
      </w:pPr>
    </w:lvl>
    <w:lvl w:ilvl="2" w:tplc="EA4AC78C">
      <w:start w:val="1"/>
      <w:numFmt w:val="lowerRoman"/>
      <w:lvlText w:val="%3."/>
      <w:lvlJc w:val="right"/>
      <w:pPr>
        <w:ind w:left="2160" w:hanging="180"/>
      </w:pPr>
    </w:lvl>
    <w:lvl w:ilvl="3" w:tplc="BA12D356">
      <w:start w:val="1"/>
      <w:numFmt w:val="decimal"/>
      <w:lvlText w:val="%4."/>
      <w:lvlJc w:val="left"/>
      <w:pPr>
        <w:ind w:left="2880" w:hanging="360"/>
      </w:pPr>
    </w:lvl>
    <w:lvl w:ilvl="4" w:tplc="09985E56">
      <w:start w:val="1"/>
      <w:numFmt w:val="lowerLetter"/>
      <w:lvlText w:val="%5."/>
      <w:lvlJc w:val="left"/>
      <w:pPr>
        <w:ind w:left="3600" w:hanging="360"/>
      </w:pPr>
    </w:lvl>
    <w:lvl w:ilvl="5" w:tplc="7CC062EE">
      <w:start w:val="1"/>
      <w:numFmt w:val="lowerRoman"/>
      <w:lvlText w:val="%6."/>
      <w:lvlJc w:val="right"/>
      <w:pPr>
        <w:ind w:left="4320" w:hanging="180"/>
      </w:pPr>
    </w:lvl>
    <w:lvl w:ilvl="6" w:tplc="B3647744">
      <w:start w:val="1"/>
      <w:numFmt w:val="decimal"/>
      <w:lvlText w:val="%7."/>
      <w:lvlJc w:val="left"/>
      <w:pPr>
        <w:ind w:left="5040" w:hanging="360"/>
      </w:pPr>
    </w:lvl>
    <w:lvl w:ilvl="7" w:tplc="CE703336">
      <w:start w:val="1"/>
      <w:numFmt w:val="lowerLetter"/>
      <w:lvlText w:val="%8."/>
      <w:lvlJc w:val="left"/>
      <w:pPr>
        <w:ind w:left="5760" w:hanging="360"/>
      </w:pPr>
    </w:lvl>
    <w:lvl w:ilvl="8" w:tplc="180A8820">
      <w:start w:val="1"/>
      <w:numFmt w:val="lowerRoman"/>
      <w:lvlText w:val="%9."/>
      <w:lvlJc w:val="right"/>
      <w:pPr>
        <w:ind w:left="6480" w:hanging="180"/>
      </w:pPr>
    </w:lvl>
  </w:abstractNum>
  <w:abstractNum w:abstractNumId="11" w15:restartNumberingAfterBreak="0">
    <w:nsid w:val="73A73100"/>
    <w:multiLevelType w:val="hybridMultilevel"/>
    <w:tmpl w:val="15C2F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801CFF"/>
    <w:multiLevelType w:val="hybridMultilevel"/>
    <w:tmpl w:val="1D603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DA71DB"/>
    <w:multiLevelType w:val="hybridMultilevel"/>
    <w:tmpl w:val="90F6A484"/>
    <w:lvl w:ilvl="0" w:tplc="FFFFFFFF">
      <w:start w:val="1"/>
      <w:numFmt w:val="decimal"/>
      <w:lvlText w:val="%1."/>
      <w:lvlJc w:val="left"/>
      <w:pPr>
        <w:ind w:left="720" w:hanging="360"/>
      </w:pPr>
    </w:lvl>
    <w:lvl w:ilvl="1" w:tplc="D50A6AA8">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2978361">
    <w:abstractNumId w:val="6"/>
  </w:num>
  <w:num w:numId="2" w16cid:durableId="1610816839">
    <w:abstractNumId w:val="2"/>
  </w:num>
  <w:num w:numId="3" w16cid:durableId="2050958512">
    <w:abstractNumId w:val="3"/>
  </w:num>
  <w:num w:numId="4" w16cid:durableId="1693800179">
    <w:abstractNumId w:val="7"/>
  </w:num>
  <w:num w:numId="5" w16cid:durableId="1729646791">
    <w:abstractNumId w:val="11"/>
  </w:num>
  <w:num w:numId="6" w16cid:durableId="143353165">
    <w:abstractNumId w:val="1"/>
  </w:num>
  <w:num w:numId="7" w16cid:durableId="665209988">
    <w:abstractNumId w:val="13"/>
  </w:num>
  <w:num w:numId="8" w16cid:durableId="1542740893">
    <w:abstractNumId w:val="8"/>
  </w:num>
  <w:num w:numId="9" w16cid:durableId="972323888">
    <w:abstractNumId w:val="9"/>
  </w:num>
  <w:num w:numId="10" w16cid:durableId="714164286">
    <w:abstractNumId w:val="12"/>
  </w:num>
  <w:num w:numId="11" w16cid:durableId="835461835">
    <w:abstractNumId w:val="4"/>
  </w:num>
  <w:num w:numId="12" w16cid:durableId="1295670694">
    <w:abstractNumId w:val="0"/>
  </w:num>
  <w:num w:numId="13" w16cid:durableId="1787653636">
    <w:abstractNumId w:val="10"/>
  </w:num>
  <w:num w:numId="14" w16cid:durableId="1015769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F0"/>
    <w:rsid w:val="00023C47"/>
    <w:rsid w:val="0006033C"/>
    <w:rsid w:val="000620A8"/>
    <w:rsid w:val="00062815"/>
    <w:rsid w:val="00092DBC"/>
    <w:rsid w:val="00096218"/>
    <w:rsid w:val="000A27A1"/>
    <w:rsid w:val="000A3523"/>
    <w:rsid w:val="000B74F0"/>
    <w:rsid w:val="000E204C"/>
    <w:rsid w:val="00117FE6"/>
    <w:rsid w:val="00137FDF"/>
    <w:rsid w:val="001758DA"/>
    <w:rsid w:val="0019149A"/>
    <w:rsid w:val="001A357E"/>
    <w:rsid w:val="001B37E3"/>
    <w:rsid w:val="001C5CFE"/>
    <w:rsid w:val="001F2F9A"/>
    <w:rsid w:val="001F4D51"/>
    <w:rsid w:val="002241F8"/>
    <w:rsid w:val="00225DA0"/>
    <w:rsid w:val="002803B9"/>
    <w:rsid w:val="00281274"/>
    <w:rsid w:val="002928EA"/>
    <w:rsid w:val="002958AA"/>
    <w:rsid w:val="002A1893"/>
    <w:rsid w:val="002A5360"/>
    <w:rsid w:val="002C7F9B"/>
    <w:rsid w:val="002E5B4F"/>
    <w:rsid w:val="003002A5"/>
    <w:rsid w:val="00321584"/>
    <w:rsid w:val="003327F1"/>
    <w:rsid w:val="00340476"/>
    <w:rsid w:val="00350689"/>
    <w:rsid w:val="00355E86"/>
    <w:rsid w:val="00363213"/>
    <w:rsid w:val="00365ADD"/>
    <w:rsid w:val="00392357"/>
    <w:rsid w:val="003971D3"/>
    <w:rsid w:val="00397800"/>
    <w:rsid w:val="003A06E7"/>
    <w:rsid w:val="003B4704"/>
    <w:rsid w:val="003C359F"/>
    <w:rsid w:val="003F56F5"/>
    <w:rsid w:val="00401B49"/>
    <w:rsid w:val="00403134"/>
    <w:rsid w:val="00417EC0"/>
    <w:rsid w:val="00456364"/>
    <w:rsid w:val="00456601"/>
    <w:rsid w:val="0046257B"/>
    <w:rsid w:val="00470812"/>
    <w:rsid w:val="0051502A"/>
    <w:rsid w:val="00562F2A"/>
    <w:rsid w:val="00582278"/>
    <w:rsid w:val="005A4CE5"/>
    <w:rsid w:val="005B6E6B"/>
    <w:rsid w:val="005C16DD"/>
    <w:rsid w:val="005E0B5E"/>
    <w:rsid w:val="00645C7C"/>
    <w:rsid w:val="006479CD"/>
    <w:rsid w:val="00656952"/>
    <w:rsid w:val="00670203"/>
    <w:rsid w:val="00693D04"/>
    <w:rsid w:val="006B1A26"/>
    <w:rsid w:val="006F1094"/>
    <w:rsid w:val="006F4641"/>
    <w:rsid w:val="006F693E"/>
    <w:rsid w:val="00710006"/>
    <w:rsid w:val="00714EE9"/>
    <w:rsid w:val="00720256"/>
    <w:rsid w:val="00744438"/>
    <w:rsid w:val="00745502"/>
    <w:rsid w:val="00750B70"/>
    <w:rsid w:val="00752F01"/>
    <w:rsid w:val="00767711"/>
    <w:rsid w:val="00794C4E"/>
    <w:rsid w:val="007C12B8"/>
    <w:rsid w:val="007E35A5"/>
    <w:rsid w:val="007E669F"/>
    <w:rsid w:val="00800D28"/>
    <w:rsid w:val="00822563"/>
    <w:rsid w:val="00825949"/>
    <w:rsid w:val="0083665B"/>
    <w:rsid w:val="00844341"/>
    <w:rsid w:val="00855C1B"/>
    <w:rsid w:val="00862527"/>
    <w:rsid w:val="008A43DB"/>
    <w:rsid w:val="008B3155"/>
    <w:rsid w:val="008B556C"/>
    <w:rsid w:val="008B6D1F"/>
    <w:rsid w:val="008C5239"/>
    <w:rsid w:val="008D5AF5"/>
    <w:rsid w:val="008E244C"/>
    <w:rsid w:val="009170D2"/>
    <w:rsid w:val="009416A5"/>
    <w:rsid w:val="0094464E"/>
    <w:rsid w:val="009A2F91"/>
    <w:rsid w:val="009A6E02"/>
    <w:rsid w:val="009B1139"/>
    <w:rsid w:val="009C3D0A"/>
    <w:rsid w:val="009D7DE1"/>
    <w:rsid w:val="009E2AAA"/>
    <w:rsid w:val="00A3343B"/>
    <w:rsid w:val="00A52F37"/>
    <w:rsid w:val="00A631A5"/>
    <w:rsid w:val="00A721B5"/>
    <w:rsid w:val="00A92F3D"/>
    <w:rsid w:val="00AA153E"/>
    <w:rsid w:val="00AA5B84"/>
    <w:rsid w:val="00AB385E"/>
    <w:rsid w:val="00AD6835"/>
    <w:rsid w:val="00AD731F"/>
    <w:rsid w:val="00B1696E"/>
    <w:rsid w:val="00B45CDB"/>
    <w:rsid w:val="00B45D16"/>
    <w:rsid w:val="00B47089"/>
    <w:rsid w:val="00B82BA3"/>
    <w:rsid w:val="00B87943"/>
    <w:rsid w:val="00BB1BEE"/>
    <w:rsid w:val="00BC3B87"/>
    <w:rsid w:val="00BC469F"/>
    <w:rsid w:val="00BC69B5"/>
    <w:rsid w:val="00BE2536"/>
    <w:rsid w:val="00BF19A9"/>
    <w:rsid w:val="00C0683E"/>
    <w:rsid w:val="00C36E7D"/>
    <w:rsid w:val="00C776EE"/>
    <w:rsid w:val="00C915A9"/>
    <w:rsid w:val="00CA27B9"/>
    <w:rsid w:val="00CE40F3"/>
    <w:rsid w:val="00CE52B9"/>
    <w:rsid w:val="00D46AC9"/>
    <w:rsid w:val="00D75B85"/>
    <w:rsid w:val="00D96B1B"/>
    <w:rsid w:val="00DA38D6"/>
    <w:rsid w:val="00DB0CA1"/>
    <w:rsid w:val="00DC01C1"/>
    <w:rsid w:val="00DC7EB3"/>
    <w:rsid w:val="00DD06B2"/>
    <w:rsid w:val="00E63730"/>
    <w:rsid w:val="00EA11C6"/>
    <w:rsid w:val="00EA536E"/>
    <w:rsid w:val="00EB0BDA"/>
    <w:rsid w:val="00EB43C2"/>
    <w:rsid w:val="00EC1234"/>
    <w:rsid w:val="00EE6551"/>
    <w:rsid w:val="00F05172"/>
    <w:rsid w:val="00F14567"/>
    <w:rsid w:val="00F25D51"/>
    <w:rsid w:val="00F27D49"/>
    <w:rsid w:val="00F3122D"/>
    <w:rsid w:val="00F67C16"/>
    <w:rsid w:val="00F7735B"/>
    <w:rsid w:val="00F90677"/>
    <w:rsid w:val="00FA74D6"/>
    <w:rsid w:val="00FC462E"/>
    <w:rsid w:val="00FC7CB7"/>
    <w:rsid w:val="00FD22D9"/>
    <w:rsid w:val="00FD4F45"/>
    <w:rsid w:val="00FD70C5"/>
    <w:rsid w:val="00FE409C"/>
    <w:rsid w:val="0335E38C"/>
    <w:rsid w:val="0526D9D0"/>
    <w:rsid w:val="056109F8"/>
    <w:rsid w:val="09D08C1C"/>
    <w:rsid w:val="0A51CA87"/>
    <w:rsid w:val="0CCC8899"/>
    <w:rsid w:val="0D02C9C7"/>
    <w:rsid w:val="0E62233D"/>
    <w:rsid w:val="105DA1DD"/>
    <w:rsid w:val="117BAE7A"/>
    <w:rsid w:val="12339043"/>
    <w:rsid w:val="144004BB"/>
    <w:rsid w:val="15634679"/>
    <w:rsid w:val="16D4EE87"/>
    <w:rsid w:val="186991DA"/>
    <w:rsid w:val="196A657D"/>
    <w:rsid w:val="1BDF151B"/>
    <w:rsid w:val="1DB67BAE"/>
    <w:rsid w:val="1DE2BFE4"/>
    <w:rsid w:val="1EDD1806"/>
    <w:rsid w:val="1FBEB208"/>
    <w:rsid w:val="207F8CF3"/>
    <w:rsid w:val="20A3E933"/>
    <w:rsid w:val="220B9031"/>
    <w:rsid w:val="23CAD5C5"/>
    <w:rsid w:val="296F7600"/>
    <w:rsid w:val="2AE03FC3"/>
    <w:rsid w:val="2BC72278"/>
    <w:rsid w:val="2CC6AEAB"/>
    <w:rsid w:val="30271F69"/>
    <w:rsid w:val="335101B3"/>
    <w:rsid w:val="346D6CCE"/>
    <w:rsid w:val="370A701C"/>
    <w:rsid w:val="39E8F9B2"/>
    <w:rsid w:val="3AD1F19B"/>
    <w:rsid w:val="3DC8B27A"/>
    <w:rsid w:val="3EAB9657"/>
    <w:rsid w:val="41091E4B"/>
    <w:rsid w:val="46469D99"/>
    <w:rsid w:val="473F3414"/>
    <w:rsid w:val="49D7D18D"/>
    <w:rsid w:val="4BDD7D31"/>
    <w:rsid w:val="4F369874"/>
    <w:rsid w:val="4F3780AD"/>
    <w:rsid w:val="50764C86"/>
    <w:rsid w:val="50BA1485"/>
    <w:rsid w:val="532FA716"/>
    <w:rsid w:val="54308AF3"/>
    <w:rsid w:val="5552352D"/>
    <w:rsid w:val="562B5BA2"/>
    <w:rsid w:val="5E144041"/>
    <w:rsid w:val="6686E713"/>
    <w:rsid w:val="679BA28C"/>
    <w:rsid w:val="67BA2B6A"/>
    <w:rsid w:val="69D8E5F0"/>
    <w:rsid w:val="6A3059CC"/>
    <w:rsid w:val="6A3E6313"/>
    <w:rsid w:val="6D66D6B9"/>
    <w:rsid w:val="6E3F3C76"/>
    <w:rsid w:val="6E6A4DFA"/>
    <w:rsid w:val="70513EF7"/>
    <w:rsid w:val="71640653"/>
    <w:rsid w:val="7269702A"/>
    <w:rsid w:val="7428866E"/>
    <w:rsid w:val="7449FE3E"/>
    <w:rsid w:val="76CF80C8"/>
    <w:rsid w:val="76E56D42"/>
    <w:rsid w:val="77812D65"/>
    <w:rsid w:val="7D9A7BED"/>
    <w:rsid w:val="7EB7C4A5"/>
    <w:rsid w:val="7FD1B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DEDF1"/>
  <w15:chartTrackingRefBased/>
  <w15:docId w15:val="{69660CDD-0CBF-46E6-94C1-1BAF47A9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2E"/>
  </w:style>
  <w:style w:type="paragraph" w:styleId="Heading1">
    <w:name w:val="heading 1"/>
    <w:basedOn w:val="Normal"/>
    <w:next w:val="Normal"/>
    <w:link w:val="Heading1Char"/>
    <w:uiPriority w:val="9"/>
    <w:qFormat/>
    <w:rsid w:val="00092D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4F0"/>
    <w:pPr>
      <w:ind w:left="720"/>
      <w:contextualSpacing/>
    </w:pPr>
  </w:style>
  <w:style w:type="character" w:styleId="CommentReference">
    <w:name w:val="annotation reference"/>
    <w:basedOn w:val="DefaultParagraphFont"/>
    <w:uiPriority w:val="99"/>
    <w:semiHidden/>
    <w:unhideWhenUsed/>
    <w:rsid w:val="00EC1234"/>
    <w:rPr>
      <w:sz w:val="16"/>
      <w:szCs w:val="16"/>
    </w:rPr>
  </w:style>
  <w:style w:type="paragraph" w:styleId="CommentText">
    <w:name w:val="annotation text"/>
    <w:basedOn w:val="Normal"/>
    <w:link w:val="CommentTextChar"/>
    <w:uiPriority w:val="99"/>
    <w:unhideWhenUsed/>
    <w:rsid w:val="00EC1234"/>
    <w:pPr>
      <w:spacing w:line="240" w:lineRule="auto"/>
    </w:pPr>
    <w:rPr>
      <w:sz w:val="20"/>
      <w:szCs w:val="20"/>
    </w:rPr>
  </w:style>
  <w:style w:type="character" w:customStyle="1" w:styleId="CommentTextChar">
    <w:name w:val="Comment Text Char"/>
    <w:basedOn w:val="DefaultParagraphFont"/>
    <w:link w:val="CommentText"/>
    <w:uiPriority w:val="99"/>
    <w:rsid w:val="00EC1234"/>
    <w:rPr>
      <w:sz w:val="20"/>
      <w:szCs w:val="20"/>
    </w:rPr>
  </w:style>
  <w:style w:type="paragraph" w:styleId="CommentSubject">
    <w:name w:val="annotation subject"/>
    <w:basedOn w:val="CommentText"/>
    <w:next w:val="CommentText"/>
    <w:link w:val="CommentSubjectChar"/>
    <w:uiPriority w:val="99"/>
    <w:semiHidden/>
    <w:unhideWhenUsed/>
    <w:rsid w:val="00EC1234"/>
    <w:rPr>
      <w:b/>
      <w:bCs/>
    </w:rPr>
  </w:style>
  <w:style w:type="character" w:customStyle="1" w:styleId="CommentSubjectChar">
    <w:name w:val="Comment Subject Char"/>
    <w:basedOn w:val="CommentTextChar"/>
    <w:link w:val="CommentSubject"/>
    <w:uiPriority w:val="99"/>
    <w:semiHidden/>
    <w:rsid w:val="00EC1234"/>
    <w:rPr>
      <w:b/>
      <w:bCs/>
      <w:sz w:val="20"/>
      <w:szCs w:val="20"/>
    </w:rPr>
  </w:style>
  <w:style w:type="table" w:styleId="TableGrid">
    <w:name w:val="Table Grid"/>
    <w:basedOn w:val="TableNormal"/>
    <w:uiPriority w:val="39"/>
    <w:rsid w:val="00EC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7EB3"/>
    <w:rPr>
      <w:color w:val="0563C1"/>
      <w:u w:val="single"/>
    </w:rPr>
  </w:style>
  <w:style w:type="paragraph" w:styleId="BodyText">
    <w:name w:val="Body Text"/>
    <w:basedOn w:val="Normal"/>
    <w:link w:val="BodyTextChar"/>
    <w:uiPriority w:val="1"/>
    <w:semiHidden/>
    <w:unhideWhenUsed/>
    <w:rsid w:val="00DC7EB3"/>
    <w:pPr>
      <w:autoSpaceDE w:val="0"/>
      <w:autoSpaceDN w:val="0"/>
      <w:spacing w:after="0" w:line="240" w:lineRule="auto"/>
    </w:pPr>
    <w:rPr>
      <w:rFonts w:ascii="Arial" w:hAnsi="Arial" w:cs="Arial"/>
      <w:kern w:val="0"/>
      <w:sz w:val="23"/>
      <w:szCs w:val="23"/>
      <w14:ligatures w14:val="none"/>
    </w:rPr>
  </w:style>
  <w:style w:type="character" w:customStyle="1" w:styleId="BodyTextChar">
    <w:name w:val="Body Text Char"/>
    <w:basedOn w:val="DefaultParagraphFont"/>
    <w:link w:val="BodyText"/>
    <w:uiPriority w:val="1"/>
    <w:semiHidden/>
    <w:rsid w:val="00DC7EB3"/>
    <w:rPr>
      <w:rFonts w:ascii="Arial" w:hAnsi="Arial" w:cs="Arial"/>
      <w:kern w:val="0"/>
      <w:sz w:val="23"/>
      <w:szCs w:val="23"/>
      <w14:ligatures w14:val="none"/>
    </w:rPr>
  </w:style>
  <w:style w:type="paragraph" w:styleId="Revision">
    <w:name w:val="Revision"/>
    <w:hidden/>
    <w:uiPriority w:val="99"/>
    <w:semiHidden/>
    <w:rsid w:val="003327F1"/>
    <w:pPr>
      <w:spacing w:after="0" w:line="240" w:lineRule="auto"/>
    </w:pPr>
  </w:style>
  <w:style w:type="character" w:customStyle="1" w:styleId="Heading1Char">
    <w:name w:val="Heading 1 Char"/>
    <w:basedOn w:val="DefaultParagraphFont"/>
    <w:link w:val="Heading1"/>
    <w:uiPriority w:val="9"/>
    <w:rsid w:val="00092D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257B"/>
    <w:rPr>
      <w:rFonts w:asciiTheme="majorHAnsi" w:eastAsiaTheme="majorEastAsia" w:hAnsiTheme="majorHAnsi" w:cstheme="majorBidi"/>
      <w:color w:val="2F5496" w:themeColor="accent1" w:themeShade="BF"/>
      <w:sz w:val="26"/>
      <w:szCs w:val="26"/>
    </w:rPr>
  </w:style>
  <w:style w:type="paragraph" w:customStyle="1" w:styleId="Default">
    <w:name w:val="Default"/>
    <w:rsid w:val="0047081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19102">
      <w:bodyDiv w:val="1"/>
      <w:marLeft w:val="0"/>
      <w:marRight w:val="0"/>
      <w:marTop w:val="0"/>
      <w:marBottom w:val="0"/>
      <w:divBdr>
        <w:top w:val="none" w:sz="0" w:space="0" w:color="auto"/>
        <w:left w:val="none" w:sz="0" w:space="0" w:color="auto"/>
        <w:bottom w:val="none" w:sz="0" w:space="0" w:color="auto"/>
        <w:right w:val="none" w:sz="0" w:space="0" w:color="auto"/>
      </w:divBdr>
    </w:div>
    <w:div w:id="828520631">
      <w:bodyDiv w:val="1"/>
      <w:marLeft w:val="0"/>
      <w:marRight w:val="0"/>
      <w:marTop w:val="0"/>
      <w:marBottom w:val="0"/>
      <w:divBdr>
        <w:top w:val="none" w:sz="0" w:space="0" w:color="auto"/>
        <w:left w:val="none" w:sz="0" w:space="0" w:color="auto"/>
        <w:bottom w:val="none" w:sz="0" w:space="0" w:color="auto"/>
        <w:right w:val="none" w:sz="0" w:space="0" w:color="auto"/>
      </w:divBdr>
    </w:div>
    <w:div w:id="21264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129DC3D167E419870F0CBB7DD30DA" ma:contentTypeVersion="4" ma:contentTypeDescription="Create a new document." ma:contentTypeScope="" ma:versionID="61b75075bb8e8131c9697ab3c666b704">
  <xsd:schema xmlns:xsd="http://www.w3.org/2001/XMLSchema" xmlns:xs="http://www.w3.org/2001/XMLSchema" xmlns:p="http://schemas.microsoft.com/office/2006/metadata/properties" xmlns:ns2="0db4eb9c-535e-4fd8-96c8-27f4e9afde59" targetNamespace="http://schemas.microsoft.com/office/2006/metadata/properties" ma:root="true" ma:fieldsID="5e0f1f8af4822e342778ebeb7ab128b5" ns2:_="">
    <xsd:import namespace="0db4eb9c-535e-4fd8-96c8-27f4e9afde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4eb9c-535e-4fd8-96c8-27f4e9afd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9C87D-2B24-4B67-92C6-1EB7333991A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A9ED39E-6E81-40E1-AC10-2542FBD383CF}">
  <ds:schemaRefs>
    <ds:schemaRef ds:uri="http://schemas.microsoft.com/sharepoint/v3/contenttype/forms"/>
  </ds:schemaRefs>
</ds:datastoreItem>
</file>

<file path=customXml/itemProps3.xml><?xml version="1.0" encoding="utf-8"?>
<ds:datastoreItem xmlns:ds="http://schemas.openxmlformats.org/officeDocument/2006/customXml" ds:itemID="{74B9B4AD-168F-4EED-AE68-E426D5FC0D1C}">
  <ds:schemaRefs>
    <ds:schemaRef ds:uri="http://schemas.microsoft.com/office/2006/metadata/contentType"/>
    <ds:schemaRef ds:uri="http://schemas.microsoft.com/office/2006/metadata/properties/metaAttributes"/>
    <ds:schemaRef ds:uri="http://www.w3.org/2000/xmlns/"/>
    <ds:schemaRef ds:uri="http://www.w3.org/2001/XMLSchema"/>
    <ds:schemaRef ds:uri="0db4eb9c-535e-4fd8-96c8-27f4e9afde5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74768-6F3A-4132-BC57-78F3D5D92B8F}">
  <ds:schemaRefs>
    <ds:schemaRef ds:uri="http://schemas.microsoft.com/office/2006/metadata/properties"/>
    <ds:schemaRef ds:uri="http://www.w3.org/2000/xmlns/"/>
    <ds:schemaRef ds:uri="http://schemas.microsoft.com/office/infopath/2007/PartnerControls"/>
  </ds:schemaRefs>
</ds:datastoreItem>
</file>

<file path=docMetadata/LabelInfo.xml><?xml version="1.0" encoding="utf-8"?>
<clbl:labelList xmlns:clbl="http://schemas.microsoft.com/office/2020/mipLabelMetadata">
  <clbl:label id="{344974e7-f4df-4119-bf93-7c3c05c32305}" enabled="0" method="" siteId="{344974e7-f4df-4119-bf93-7c3c05c32305}" removed="1"/>
  <clbl:label id="{dffd51a4-5314-4c60-bce6-0affc34d9cd7}" enabled="1" method="Standard" siteId="{4a156c19-bc94-41ac-aacf-954686490869}"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1878</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Hoffman</dc:creator>
  <cp:keywords/>
  <dc:description/>
  <cp:lastModifiedBy>Malm, Gunnar</cp:lastModifiedBy>
  <cp:revision>6</cp:revision>
  <dcterms:created xsi:type="dcterms:W3CDTF">2025-06-24T16:32:00Z</dcterms:created>
  <dcterms:modified xsi:type="dcterms:W3CDTF">2025-06-24T19:34:00Z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0x010100021129DC3D167E419870F0CBB7DD30DA</vt:lpwstr>
  </property>
  <property fmtid="{D5CDD505-2E9C-101B-9397-08002B2CF9AE}" pid="3" name="GrammarlyDocumentId">
    <vt:lpwstr>6622a76cc62646369ce9ff0a2c260b37d7248c8a53aa27790ff34ba300d58068</vt:lpwstr>
  </property>
</Properties>
</file>